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32" w:rsidRPr="00CD3820" w:rsidRDefault="00F8056B" w:rsidP="002D4F01">
      <w:pPr>
        <w:jc w:val="center"/>
        <w:rPr>
          <w:sz w:val="28"/>
          <w:szCs w:val="28"/>
        </w:rPr>
      </w:pPr>
      <w:r w:rsidRPr="00CD3820">
        <w:rPr>
          <w:b/>
          <w:bCs/>
          <w:sz w:val="28"/>
          <w:szCs w:val="28"/>
          <w:lang w:val="en-CA" w:eastAsia="en-CA"/>
        </w:rPr>
        <w:t>Joint Review of National Data Availability for SDGs</w:t>
      </w:r>
      <w:r w:rsidR="00051465" w:rsidRPr="00CD3820">
        <w:rPr>
          <w:rStyle w:val="FootnoteReference"/>
          <w:b/>
          <w:bCs/>
          <w:sz w:val="28"/>
          <w:szCs w:val="28"/>
        </w:rPr>
        <w:footnoteReference w:id="1"/>
      </w:r>
    </w:p>
    <w:p w:rsidR="001511BB" w:rsidRPr="00CD3820" w:rsidRDefault="001511BB" w:rsidP="00A92BA4">
      <w:pPr>
        <w:jc w:val="both"/>
        <w:rPr>
          <w:b/>
        </w:rPr>
      </w:pPr>
    </w:p>
    <w:p w:rsidR="002D4F01" w:rsidRPr="00CD3820" w:rsidRDefault="002D4F01" w:rsidP="002D4F01">
      <w:pPr>
        <w:jc w:val="center"/>
        <w:rPr>
          <w:b/>
          <w:bCs/>
          <w:sz w:val="28"/>
          <w:szCs w:val="28"/>
        </w:rPr>
      </w:pPr>
    </w:p>
    <w:p w:rsidR="002B3E45" w:rsidRPr="00CD3820" w:rsidRDefault="002B3E45" w:rsidP="002D4F01">
      <w:pPr>
        <w:jc w:val="center"/>
        <w:rPr>
          <w:b/>
          <w:bCs/>
          <w:sz w:val="28"/>
          <w:szCs w:val="28"/>
        </w:rPr>
      </w:pPr>
    </w:p>
    <w:p w:rsidR="002B3E45" w:rsidRPr="00CD3820" w:rsidRDefault="002B3E45" w:rsidP="002D4F01">
      <w:pPr>
        <w:jc w:val="center"/>
        <w:rPr>
          <w:b/>
          <w:bCs/>
          <w:sz w:val="28"/>
          <w:szCs w:val="28"/>
        </w:rPr>
      </w:pPr>
    </w:p>
    <w:p w:rsidR="002D4F01" w:rsidRPr="00CD3820" w:rsidRDefault="002D4F01" w:rsidP="002D4F01">
      <w:pPr>
        <w:jc w:val="center"/>
        <w:rPr>
          <w:b/>
          <w:bCs/>
          <w:sz w:val="28"/>
          <w:szCs w:val="28"/>
        </w:rPr>
      </w:pPr>
      <w:proofErr w:type="spellStart"/>
      <w:r w:rsidRPr="00CD3820">
        <w:rPr>
          <w:b/>
          <w:bCs/>
          <w:sz w:val="28"/>
          <w:szCs w:val="28"/>
        </w:rPr>
        <w:t>Gereltuya</w:t>
      </w:r>
      <w:proofErr w:type="spellEnd"/>
      <w:r w:rsidRPr="00CD3820">
        <w:rPr>
          <w:b/>
          <w:bCs/>
          <w:sz w:val="28"/>
          <w:szCs w:val="28"/>
        </w:rPr>
        <w:t xml:space="preserve"> </w:t>
      </w:r>
      <w:proofErr w:type="spellStart"/>
      <w:r w:rsidRPr="00CD3820">
        <w:rPr>
          <w:b/>
          <w:bCs/>
          <w:sz w:val="28"/>
          <w:szCs w:val="28"/>
        </w:rPr>
        <w:t>Altankhuyag</w:t>
      </w:r>
      <w:proofErr w:type="spellEnd"/>
    </w:p>
    <w:p w:rsidR="002D4F01" w:rsidRPr="00CD3820" w:rsidRDefault="002D4F01" w:rsidP="002D4F01">
      <w:pPr>
        <w:jc w:val="center"/>
        <w:rPr>
          <w:b/>
          <w:bCs/>
          <w:sz w:val="28"/>
          <w:szCs w:val="28"/>
        </w:rPr>
      </w:pPr>
      <w:r w:rsidRPr="00CD3820">
        <w:rPr>
          <w:b/>
          <w:bCs/>
          <w:sz w:val="28"/>
          <w:szCs w:val="28"/>
        </w:rPr>
        <w:t xml:space="preserve">Harold </w:t>
      </w:r>
      <w:proofErr w:type="spellStart"/>
      <w:r w:rsidRPr="00CD3820">
        <w:rPr>
          <w:b/>
          <w:bCs/>
          <w:sz w:val="28"/>
          <w:szCs w:val="28"/>
        </w:rPr>
        <w:t>Coulombe</w:t>
      </w:r>
      <w:proofErr w:type="spellEnd"/>
    </w:p>
    <w:p w:rsidR="002D4F01" w:rsidRPr="00CD3820" w:rsidRDefault="002D4F01" w:rsidP="002D4F01">
      <w:pPr>
        <w:jc w:val="center"/>
        <w:rPr>
          <w:b/>
          <w:bCs/>
          <w:sz w:val="28"/>
          <w:szCs w:val="28"/>
        </w:rPr>
      </w:pPr>
    </w:p>
    <w:p w:rsidR="00C174A1" w:rsidRPr="00CD3820" w:rsidRDefault="00C174A1" w:rsidP="002D4F01">
      <w:pPr>
        <w:jc w:val="center"/>
        <w:rPr>
          <w:b/>
          <w:bCs/>
          <w:sz w:val="28"/>
          <w:szCs w:val="28"/>
        </w:rPr>
      </w:pPr>
    </w:p>
    <w:p w:rsidR="002D4F01" w:rsidRPr="00CD3820" w:rsidRDefault="002D4F01" w:rsidP="002D4F01">
      <w:pPr>
        <w:jc w:val="center"/>
        <w:rPr>
          <w:b/>
          <w:bCs/>
          <w:sz w:val="28"/>
          <w:szCs w:val="28"/>
        </w:rPr>
      </w:pPr>
      <w:r w:rsidRPr="00CD3820">
        <w:rPr>
          <w:b/>
          <w:bCs/>
          <w:sz w:val="28"/>
          <w:szCs w:val="28"/>
        </w:rPr>
        <w:t xml:space="preserve">National Statistical Office (NSO) </w:t>
      </w:r>
    </w:p>
    <w:p w:rsidR="002D4F01" w:rsidRPr="00CD3820" w:rsidRDefault="002D4F01" w:rsidP="002D4F01">
      <w:pPr>
        <w:jc w:val="center"/>
        <w:rPr>
          <w:b/>
          <w:bCs/>
          <w:sz w:val="28"/>
          <w:szCs w:val="28"/>
        </w:rPr>
      </w:pPr>
      <w:r w:rsidRPr="00CD3820">
        <w:rPr>
          <w:b/>
          <w:bCs/>
          <w:sz w:val="28"/>
          <w:szCs w:val="28"/>
        </w:rPr>
        <w:t xml:space="preserve">United Nations Development </w:t>
      </w:r>
      <w:proofErr w:type="spellStart"/>
      <w:r w:rsidRPr="00CD3820">
        <w:rPr>
          <w:b/>
          <w:bCs/>
          <w:sz w:val="28"/>
          <w:szCs w:val="28"/>
        </w:rPr>
        <w:t>Programme</w:t>
      </w:r>
      <w:proofErr w:type="spellEnd"/>
      <w:r w:rsidRPr="00CD3820">
        <w:rPr>
          <w:b/>
          <w:bCs/>
          <w:sz w:val="28"/>
          <w:szCs w:val="28"/>
        </w:rPr>
        <w:t xml:space="preserve"> (UNDP)</w:t>
      </w:r>
    </w:p>
    <w:p w:rsidR="002D4F01" w:rsidRPr="00CD3820" w:rsidRDefault="002D4F01" w:rsidP="002D4F01">
      <w:pPr>
        <w:jc w:val="center"/>
        <w:rPr>
          <w:b/>
          <w:bCs/>
          <w:sz w:val="28"/>
          <w:szCs w:val="28"/>
        </w:rPr>
      </w:pPr>
    </w:p>
    <w:p w:rsidR="002B3E45" w:rsidRPr="00CD3820" w:rsidRDefault="002B3E45" w:rsidP="002D4F01">
      <w:pPr>
        <w:jc w:val="center"/>
        <w:rPr>
          <w:b/>
          <w:bCs/>
          <w:sz w:val="28"/>
          <w:szCs w:val="28"/>
        </w:rPr>
      </w:pPr>
    </w:p>
    <w:p w:rsidR="002D4F01" w:rsidRPr="00CD3820" w:rsidRDefault="00B31A06" w:rsidP="002D4F01">
      <w:pPr>
        <w:jc w:val="center"/>
        <w:rPr>
          <w:b/>
          <w:bCs/>
          <w:sz w:val="28"/>
          <w:szCs w:val="28"/>
        </w:rPr>
      </w:pPr>
      <w:r w:rsidRPr="00CD3820">
        <w:rPr>
          <w:b/>
          <w:bCs/>
          <w:sz w:val="28"/>
          <w:szCs w:val="28"/>
        </w:rPr>
        <w:t>December</w:t>
      </w:r>
      <w:r w:rsidR="002D4F01" w:rsidRPr="00CD3820">
        <w:rPr>
          <w:b/>
          <w:bCs/>
          <w:sz w:val="28"/>
          <w:szCs w:val="28"/>
        </w:rPr>
        <w:t xml:space="preserve"> 2015</w:t>
      </w:r>
    </w:p>
    <w:p w:rsidR="002D4F01" w:rsidRPr="00CD3820" w:rsidRDefault="002D4F01" w:rsidP="002D4F01">
      <w:pPr>
        <w:jc w:val="center"/>
        <w:rPr>
          <w:b/>
          <w:bCs/>
          <w:sz w:val="28"/>
          <w:szCs w:val="28"/>
        </w:rPr>
      </w:pPr>
    </w:p>
    <w:p w:rsidR="00020A8D" w:rsidRPr="00CD3820" w:rsidRDefault="00020A8D" w:rsidP="002D4F01">
      <w:pPr>
        <w:jc w:val="center"/>
        <w:rPr>
          <w:b/>
          <w:bCs/>
          <w:sz w:val="28"/>
          <w:szCs w:val="28"/>
        </w:rPr>
      </w:pPr>
    </w:p>
    <w:p w:rsidR="00020A8D" w:rsidRPr="00CD3820" w:rsidRDefault="00020A8D" w:rsidP="002D4F01">
      <w:pPr>
        <w:jc w:val="center"/>
        <w:rPr>
          <w:b/>
          <w:bCs/>
          <w:sz w:val="28"/>
          <w:szCs w:val="28"/>
        </w:rPr>
      </w:pPr>
    </w:p>
    <w:p w:rsidR="00020A8D" w:rsidRPr="00CD3820" w:rsidRDefault="00020A8D" w:rsidP="002D4F01">
      <w:pPr>
        <w:jc w:val="center"/>
        <w:rPr>
          <w:b/>
          <w:bCs/>
          <w:sz w:val="28"/>
          <w:szCs w:val="28"/>
        </w:rPr>
      </w:pPr>
    </w:p>
    <w:p w:rsidR="002D4F01" w:rsidRPr="00CD3820" w:rsidRDefault="002D4F01" w:rsidP="007761F0"/>
    <w:sdt>
      <w:sdtPr>
        <w:rPr>
          <w:rFonts w:ascii="Times New Roman" w:eastAsia="Times New Roman" w:hAnsi="Times New Roman" w:cs="Times New Roman"/>
          <w:color w:val="auto"/>
          <w:sz w:val="24"/>
          <w:szCs w:val="24"/>
        </w:rPr>
        <w:id w:val="-1610502968"/>
        <w:docPartObj>
          <w:docPartGallery w:val="Table of Contents"/>
          <w:docPartUnique/>
        </w:docPartObj>
      </w:sdtPr>
      <w:sdtEndPr>
        <w:rPr>
          <w:b/>
          <w:bCs/>
          <w:noProof/>
        </w:rPr>
      </w:sdtEndPr>
      <w:sdtContent>
        <w:p w:rsidR="00020A8D" w:rsidRPr="00CD3820" w:rsidRDefault="00020A8D" w:rsidP="00020A8D">
          <w:pPr>
            <w:pStyle w:val="TOCHeading"/>
            <w:ind w:left="2160" w:firstLine="720"/>
            <w:rPr>
              <w:color w:val="auto"/>
            </w:rPr>
          </w:pPr>
          <w:r w:rsidRPr="00CD3820">
            <w:rPr>
              <w:color w:val="auto"/>
            </w:rPr>
            <w:t>Table of Contents</w:t>
          </w:r>
        </w:p>
        <w:p w:rsidR="00020A8D" w:rsidRPr="00CD3820" w:rsidRDefault="00581561">
          <w:pPr>
            <w:pStyle w:val="TOC1"/>
            <w:tabs>
              <w:tab w:val="left" w:pos="440"/>
              <w:tab w:val="right" w:leader="dot" w:pos="8296"/>
            </w:tabs>
            <w:rPr>
              <w:rFonts w:asciiTheme="minorHAnsi" w:eastAsiaTheme="minorEastAsia" w:hAnsiTheme="minorHAnsi" w:cstheme="minorBidi"/>
              <w:noProof/>
              <w:sz w:val="22"/>
              <w:szCs w:val="22"/>
            </w:rPr>
          </w:pPr>
          <w:r w:rsidRPr="00581561">
            <w:fldChar w:fldCharType="begin"/>
          </w:r>
          <w:r w:rsidR="00020A8D" w:rsidRPr="00CD3820">
            <w:instrText xml:space="preserve"> TOC \o "1-3" \h \z \u </w:instrText>
          </w:r>
          <w:r w:rsidRPr="00581561">
            <w:fldChar w:fldCharType="separate"/>
          </w:r>
          <w:hyperlink w:anchor="_Toc438003090" w:history="1">
            <w:r w:rsidR="00020A8D" w:rsidRPr="00CD3820">
              <w:rPr>
                <w:rStyle w:val="Hyperlink"/>
                <w:noProof/>
                <w:color w:val="auto"/>
              </w:rPr>
              <w:t>1.</w:t>
            </w:r>
            <w:r w:rsidR="00020A8D" w:rsidRPr="00CD3820">
              <w:rPr>
                <w:rFonts w:asciiTheme="minorHAnsi" w:eastAsiaTheme="minorEastAsia" w:hAnsiTheme="minorHAnsi" w:cstheme="minorBidi"/>
                <w:noProof/>
                <w:sz w:val="22"/>
                <w:szCs w:val="22"/>
              </w:rPr>
              <w:tab/>
            </w:r>
            <w:r w:rsidR="00020A8D" w:rsidRPr="00CD3820">
              <w:rPr>
                <w:rStyle w:val="Hyperlink"/>
                <w:noProof/>
                <w:color w:val="auto"/>
              </w:rPr>
              <w:t>Introduction</w:t>
            </w:r>
            <w:r w:rsidR="00020A8D" w:rsidRPr="00CD3820">
              <w:rPr>
                <w:noProof/>
                <w:webHidden/>
              </w:rPr>
              <w:tab/>
            </w:r>
            <w:r w:rsidRPr="00CD3820">
              <w:rPr>
                <w:noProof/>
                <w:webHidden/>
              </w:rPr>
              <w:fldChar w:fldCharType="begin"/>
            </w:r>
            <w:r w:rsidR="00020A8D" w:rsidRPr="00CD3820">
              <w:rPr>
                <w:noProof/>
                <w:webHidden/>
              </w:rPr>
              <w:instrText xml:space="preserve"> PAGEREF _Toc438003090 \h </w:instrText>
            </w:r>
            <w:r w:rsidRPr="00CD3820">
              <w:rPr>
                <w:noProof/>
                <w:webHidden/>
              </w:rPr>
            </w:r>
            <w:r w:rsidRPr="00CD3820">
              <w:rPr>
                <w:noProof/>
                <w:webHidden/>
              </w:rPr>
              <w:fldChar w:fldCharType="separate"/>
            </w:r>
            <w:r w:rsidR="0017525A">
              <w:rPr>
                <w:noProof/>
                <w:webHidden/>
              </w:rPr>
              <w:t>2</w:t>
            </w:r>
            <w:r w:rsidRPr="00CD3820">
              <w:rPr>
                <w:noProof/>
                <w:webHidden/>
              </w:rPr>
              <w:fldChar w:fldCharType="end"/>
            </w:r>
          </w:hyperlink>
        </w:p>
        <w:p w:rsidR="00020A8D" w:rsidRPr="00CD3820" w:rsidRDefault="00581561">
          <w:pPr>
            <w:pStyle w:val="TOC1"/>
            <w:tabs>
              <w:tab w:val="right" w:leader="dot" w:pos="8296"/>
            </w:tabs>
            <w:rPr>
              <w:rFonts w:asciiTheme="minorHAnsi" w:eastAsiaTheme="minorEastAsia" w:hAnsiTheme="minorHAnsi" w:cstheme="minorBidi"/>
              <w:noProof/>
              <w:sz w:val="22"/>
              <w:szCs w:val="22"/>
            </w:rPr>
          </w:pPr>
          <w:hyperlink w:anchor="_Toc438003091" w:history="1">
            <w:r w:rsidR="00020A8D" w:rsidRPr="00CD3820">
              <w:rPr>
                <w:rStyle w:val="Hyperlink"/>
                <w:noProof/>
                <w:color w:val="auto"/>
                <w:shd w:val="clear" w:color="auto" w:fill="FFFFFF"/>
              </w:rPr>
              <w:t>2. Databases Used</w:t>
            </w:r>
            <w:r w:rsidR="00020A8D" w:rsidRPr="00CD3820">
              <w:rPr>
                <w:noProof/>
                <w:webHidden/>
              </w:rPr>
              <w:tab/>
            </w:r>
            <w:r w:rsidRPr="00CD3820">
              <w:rPr>
                <w:noProof/>
                <w:webHidden/>
              </w:rPr>
              <w:fldChar w:fldCharType="begin"/>
            </w:r>
            <w:r w:rsidR="00020A8D" w:rsidRPr="00CD3820">
              <w:rPr>
                <w:noProof/>
                <w:webHidden/>
              </w:rPr>
              <w:instrText xml:space="preserve"> PAGEREF _Toc438003091 \h </w:instrText>
            </w:r>
            <w:r w:rsidRPr="00CD3820">
              <w:rPr>
                <w:noProof/>
                <w:webHidden/>
              </w:rPr>
            </w:r>
            <w:r w:rsidRPr="00CD3820">
              <w:rPr>
                <w:noProof/>
                <w:webHidden/>
              </w:rPr>
              <w:fldChar w:fldCharType="separate"/>
            </w:r>
            <w:r w:rsidR="0017525A">
              <w:rPr>
                <w:noProof/>
                <w:webHidden/>
              </w:rPr>
              <w:t>3</w:t>
            </w:r>
            <w:r w:rsidRPr="00CD3820">
              <w:rPr>
                <w:noProof/>
                <w:webHidden/>
              </w:rPr>
              <w:fldChar w:fldCharType="end"/>
            </w:r>
          </w:hyperlink>
        </w:p>
        <w:p w:rsidR="00020A8D" w:rsidRPr="00CD3820" w:rsidRDefault="00581561">
          <w:pPr>
            <w:pStyle w:val="TOC1"/>
            <w:tabs>
              <w:tab w:val="right" w:leader="dot" w:pos="8296"/>
            </w:tabs>
            <w:rPr>
              <w:rFonts w:asciiTheme="minorHAnsi" w:eastAsiaTheme="minorEastAsia" w:hAnsiTheme="minorHAnsi" w:cstheme="minorBidi"/>
              <w:noProof/>
              <w:sz w:val="22"/>
              <w:szCs w:val="22"/>
            </w:rPr>
          </w:pPr>
          <w:hyperlink w:anchor="_Toc438003092" w:history="1">
            <w:r w:rsidR="00020A8D" w:rsidRPr="00CD3820">
              <w:rPr>
                <w:rStyle w:val="Hyperlink"/>
                <w:noProof/>
                <w:color w:val="auto"/>
              </w:rPr>
              <w:t>3. Goals, Targets and Global Indicators</w:t>
            </w:r>
            <w:r w:rsidR="00020A8D" w:rsidRPr="00CD3820">
              <w:rPr>
                <w:noProof/>
                <w:webHidden/>
              </w:rPr>
              <w:tab/>
            </w:r>
            <w:r w:rsidRPr="00CD3820">
              <w:rPr>
                <w:noProof/>
                <w:webHidden/>
              </w:rPr>
              <w:fldChar w:fldCharType="begin"/>
            </w:r>
            <w:r w:rsidR="00020A8D" w:rsidRPr="00CD3820">
              <w:rPr>
                <w:noProof/>
                <w:webHidden/>
              </w:rPr>
              <w:instrText xml:space="preserve"> PAGEREF _Toc438003092 \h </w:instrText>
            </w:r>
            <w:r w:rsidRPr="00CD3820">
              <w:rPr>
                <w:noProof/>
                <w:webHidden/>
              </w:rPr>
            </w:r>
            <w:r w:rsidRPr="00CD3820">
              <w:rPr>
                <w:noProof/>
                <w:webHidden/>
              </w:rPr>
              <w:fldChar w:fldCharType="separate"/>
            </w:r>
            <w:r w:rsidR="0017525A">
              <w:rPr>
                <w:noProof/>
                <w:webHidden/>
              </w:rPr>
              <w:t>4</w:t>
            </w:r>
            <w:r w:rsidRPr="00CD3820">
              <w:rPr>
                <w:noProof/>
                <w:webHidden/>
              </w:rPr>
              <w:fldChar w:fldCharType="end"/>
            </w:r>
          </w:hyperlink>
        </w:p>
        <w:p w:rsidR="00020A8D" w:rsidRPr="00CD3820" w:rsidRDefault="00581561">
          <w:pPr>
            <w:pStyle w:val="TOC1"/>
            <w:tabs>
              <w:tab w:val="right" w:leader="dot" w:pos="8296"/>
            </w:tabs>
            <w:rPr>
              <w:rFonts w:asciiTheme="minorHAnsi" w:eastAsiaTheme="minorEastAsia" w:hAnsiTheme="minorHAnsi" w:cstheme="minorBidi"/>
              <w:noProof/>
              <w:sz w:val="22"/>
              <w:szCs w:val="22"/>
            </w:rPr>
          </w:pPr>
          <w:hyperlink w:anchor="_Toc438003093" w:history="1">
            <w:r w:rsidR="00020A8D" w:rsidRPr="00CD3820">
              <w:rPr>
                <w:rStyle w:val="Hyperlink"/>
                <w:noProof/>
                <w:color w:val="auto"/>
              </w:rPr>
              <w:t>4. Mongolian SDG Indicators</w:t>
            </w:r>
            <w:r w:rsidR="00020A8D" w:rsidRPr="00CD3820">
              <w:rPr>
                <w:noProof/>
                <w:webHidden/>
              </w:rPr>
              <w:tab/>
            </w:r>
            <w:r w:rsidRPr="00CD3820">
              <w:rPr>
                <w:noProof/>
                <w:webHidden/>
              </w:rPr>
              <w:fldChar w:fldCharType="begin"/>
            </w:r>
            <w:r w:rsidR="00020A8D" w:rsidRPr="00CD3820">
              <w:rPr>
                <w:noProof/>
                <w:webHidden/>
              </w:rPr>
              <w:instrText xml:space="preserve"> PAGEREF _Toc438003093 \h </w:instrText>
            </w:r>
            <w:r w:rsidRPr="00CD3820">
              <w:rPr>
                <w:noProof/>
                <w:webHidden/>
              </w:rPr>
            </w:r>
            <w:r w:rsidRPr="00CD3820">
              <w:rPr>
                <w:noProof/>
                <w:webHidden/>
              </w:rPr>
              <w:fldChar w:fldCharType="separate"/>
            </w:r>
            <w:r w:rsidR="0017525A">
              <w:rPr>
                <w:noProof/>
                <w:webHidden/>
              </w:rPr>
              <w:t>7</w:t>
            </w:r>
            <w:r w:rsidRPr="00CD3820">
              <w:rPr>
                <w:noProof/>
                <w:webHidden/>
              </w:rPr>
              <w:fldChar w:fldCharType="end"/>
            </w:r>
          </w:hyperlink>
        </w:p>
        <w:p w:rsidR="00020A8D" w:rsidRPr="00CD3820" w:rsidRDefault="00581561">
          <w:pPr>
            <w:pStyle w:val="TOC1"/>
            <w:tabs>
              <w:tab w:val="right" w:leader="dot" w:pos="8296"/>
            </w:tabs>
            <w:rPr>
              <w:rFonts w:asciiTheme="minorHAnsi" w:eastAsiaTheme="minorEastAsia" w:hAnsiTheme="minorHAnsi" w:cstheme="minorBidi"/>
              <w:noProof/>
              <w:sz w:val="22"/>
              <w:szCs w:val="22"/>
            </w:rPr>
          </w:pPr>
          <w:hyperlink w:anchor="_Toc438003094" w:history="1">
            <w:r w:rsidR="00020A8D" w:rsidRPr="00CD3820">
              <w:rPr>
                <w:rStyle w:val="Hyperlink"/>
                <w:noProof/>
                <w:color w:val="auto"/>
              </w:rPr>
              <w:t>5. Proposed Next Stages</w:t>
            </w:r>
            <w:r w:rsidR="00020A8D" w:rsidRPr="00CD3820">
              <w:rPr>
                <w:noProof/>
                <w:webHidden/>
              </w:rPr>
              <w:tab/>
            </w:r>
            <w:r w:rsidRPr="00CD3820">
              <w:rPr>
                <w:noProof/>
                <w:webHidden/>
              </w:rPr>
              <w:fldChar w:fldCharType="begin"/>
            </w:r>
            <w:r w:rsidR="00020A8D" w:rsidRPr="00CD3820">
              <w:rPr>
                <w:noProof/>
                <w:webHidden/>
              </w:rPr>
              <w:instrText xml:space="preserve"> PAGEREF _Toc438003094 \h </w:instrText>
            </w:r>
            <w:r w:rsidRPr="00CD3820">
              <w:rPr>
                <w:noProof/>
                <w:webHidden/>
              </w:rPr>
            </w:r>
            <w:r w:rsidRPr="00CD3820">
              <w:rPr>
                <w:noProof/>
                <w:webHidden/>
              </w:rPr>
              <w:fldChar w:fldCharType="separate"/>
            </w:r>
            <w:r w:rsidR="0017525A">
              <w:rPr>
                <w:noProof/>
                <w:webHidden/>
              </w:rPr>
              <w:t>8</w:t>
            </w:r>
            <w:r w:rsidRPr="00CD3820">
              <w:rPr>
                <w:noProof/>
                <w:webHidden/>
              </w:rPr>
              <w:fldChar w:fldCharType="end"/>
            </w:r>
          </w:hyperlink>
        </w:p>
        <w:p w:rsidR="00020A8D" w:rsidRPr="00CD3820" w:rsidRDefault="00581561">
          <w:r w:rsidRPr="00CD3820">
            <w:rPr>
              <w:b/>
              <w:bCs/>
              <w:noProof/>
            </w:rPr>
            <w:fldChar w:fldCharType="end"/>
          </w:r>
        </w:p>
      </w:sdtContent>
    </w:sdt>
    <w:p w:rsidR="002D4F01" w:rsidRPr="00CD3820" w:rsidRDefault="002D4F01" w:rsidP="002D4F01">
      <w:pPr>
        <w:jc w:val="center"/>
      </w:pPr>
    </w:p>
    <w:p w:rsidR="00257DBB" w:rsidRPr="00CD3820" w:rsidRDefault="00257DBB" w:rsidP="00A92BA4">
      <w:pPr>
        <w:jc w:val="both"/>
        <w:rPr>
          <w:b/>
        </w:rPr>
      </w:pPr>
    </w:p>
    <w:p w:rsidR="00257DBB" w:rsidRPr="00CD3820" w:rsidRDefault="00020A8D" w:rsidP="00020A8D">
      <w:pPr>
        <w:pStyle w:val="Heading1"/>
        <w:numPr>
          <w:ilvl w:val="0"/>
          <w:numId w:val="41"/>
        </w:numPr>
        <w:rPr>
          <w:color w:val="auto"/>
        </w:rPr>
      </w:pPr>
      <w:r w:rsidRPr="00CD3820">
        <w:rPr>
          <w:color w:val="auto"/>
        </w:rPr>
        <w:br w:type="page"/>
      </w:r>
      <w:bookmarkStart w:id="0" w:name="_Toc438003090"/>
      <w:r w:rsidR="00A96FAF" w:rsidRPr="00CD3820">
        <w:rPr>
          <w:color w:val="auto"/>
        </w:rPr>
        <w:lastRenderedPageBreak/>
        <w:t>Introduction</w:t>
      </w:r>
      <w:bookmarkEnd w:id="0"/>
    </w:p>
    <w:p w:rsidR="00A96FAF" w:rsidRPr="00CD3820" w:rsidRDefault="00A96FAF" w:rsidP="00A96FAF">
      <w:pPr>
        <w:pStyle w:val="ListParagraph"/>
        <w:ind w:left="1080"/>
        <w:jc w:val="both"/>
        <w:rPr>
          <w:b/>
        </w:rPr>
      </w:pPr>
    </w:p>
    <w:p w:rsidR="00CD3820" w:rsidRDefault="00A96FAF" w:rsidP="008E52D8">
      <w:pPr>
        <w:jc w:val="both"/>
      </w:pPr>
      <w:r w:rsidRPr="00CD3820">
        <w:t>Following the tremendous effort by most developing countries</w:t>
      </w:r>
      <w:r w:rsidR="00BD131E" w:rsidRPr="00CD3820">
        <w:t xml:space="preserve"> </w:t>
      </w:r>
      <w:r w:rsidRPr="00CD3820">
        <w:t>attempting to reach the</w:t>
      </w:r>
      <w:r w:rsidR="00BD131E" w:rsidRPr="00CD3820">
        <w:t>ir</w:t>
      </w:r>
      <w:r w:rsidRPr="00CD3820">
        <w:t xml:space="preserve"> MDGs over the period between 1990 and 2015,</w:t>
      </w:r>
      <w:r w:rsidR="00213933" w:rsidRPr="00CD3820">
        <w:t xml:space="preserve"> a series of meeting and working groups led to a post-2015 development agenda encompassing seventeen </w:t>
      </w:r>
      <w:r w:rsidR="00213933" w:rsidRPr="00CD3820">
        <w:rPr>
          <w:shd w:val="clear" w:color="auto" w:fill="FFFFFF"/>
        </w:rPr>
        <w:t>goals that are contained in paragraph 51 United Nations Resolution A/RES/70/1 of 25 September 2015</w:t>
      </w:r>
      <w:r w:rsidR="00627EF9" w:rsidRPr="00CD3820">
        <w:rPr>
          <w:rStyle w:val="FootnoteReference"/>
          <w:shd w:val="clear" w:color="auto" w:fill="FFFFFF"/>
        </w:rPr>
        <w:footnoteReference w:id="2"/>
      </w:r>
      <w:r w:rsidR="00213933" w:rsidRPr="00CD3820">
        <w:rPr>
          <w:shd w:val="clear" w:color="auto" w:fill="FFFFFF"/>
        </w:rPr>
        <w:t xml:space="preserve">. </w:t>
      </w:r>
      <w:r w:rsidR="00213933" w:rsidRPr="00CD3820">
        <w:t>The resulting Sustainable Development Goals (SDGs) include most of the MDGs but go much further in comprehensiveness.</w:t>
      </w:r>
      <w:r w:rsidR="00FB2AD2" w:rsidRPr="00CD3820">
        <w:t xml:space="preserve"> </w:t>
      </w:r>
      <w:r w:rsidR="00213933" w:rsidRPr="00CD3820">
        <w:t>Prior to that, o</w:t>
      </w:r>
      <w:r w:rsidR="00213933" w:rsidRPr="00CD3820">
        <w:rPr>
          <w:shd w:val="clear" w:color="auto" w:fill="FFFFFF"/>
        </w:rPr>
        <w:t xml:space="preserve">n </w:t>
      </w:r>
      <w:r w:rsidR="00FB2AD2" w:rsidRPr="00CD3820">
        <w:rPr>
          <w:shd w:val="clear" w:color="auto" w:fill="FFFFFF"/>
        </w:rPr>
        <w:t>March</w:t>
      </w:r>
      <w:r w:rsidR="00213933" w:rsidRPr="00CD3820">
        <w:rPr>
          <w:shd w:val="clear" w:color="auto" w:fill="FFFFFF"/>
        </w:rPr>
        <w:t xml:space="preserve"> 6</w:t>
      </w:r>
      <w:r w:rsidR="00213933" w:rsidRPr="00CD3820">
        <w:rPr>
          <w:shd w:val="clear" w:color="auto" w:fill="FFFFFF"/>
          <w:vertAlign w:val="superscript"/>
        </w:rPr>
        <w:t>th</w:t>
      </w:r>
      <w:r w:rsidR="00213933" w:rsidRPr="00CD3820">
        <w:rPr>
          <w:shd w:val="clear" w:color="auto" w:fill="FFFFFF"/>
        </w:rPr>
        <w:t>,</w:t>
      </w:r>
      <w:r w:rsidR="00FB2AD2" w:rsidRPr="00CD3820">
        <w:rPr>
          <w:shd w:val="clear" w:color="auto" w:fill="FFFFFF"/>
        </w:rPr>
        <w:t xml:space="preserve"> 2015, at its forty-sixth session, the United Nations Statistical Commission created an Inter-agency and Expert Group on SDG Indicators (IAEG-SDGs</w:t>
      </w:r>
      <w:proofErr w:type="gramStart"/>
      <w:r w:rsidR="00FB2AD2" w:rsidRPr="00CD3820">
        <w:rPr>
          <w:shd w:val="clear" w:color="auto" w:fill="FFFFFF"/>
        </w:rPr>
        <w:t>),</w:t>
      </w:r>
      <w:proofErr w:type="gramEnd"/>
      <w:r w:rsidR="00FB2AD2" w:rsidRPr="00CD3820">
        <w:rPr>
          <w:shd w:val="clear" w:color="auto" w:fill="FFFFFF"/>
        </w:rPr>
        <w:t xml:space="preserve"> composed of Member States and including regional and international agencies as observers.</w:t>
      </w:r>
      <w:r w:rsidR="00A00AB1" w:rsidRPr="00CD3820">
        <w:t xml:space="preserve">  </w:t>
      </w:r>
    </w:p>
    <w:p w:rsidR="00CD3820" w:rsidRDefault="00CD3820" w:rsidP="008E52D8">
      <w:pPr>
        <w:jc w:val="both"/>
      </w:pPr>
    </w:p>
    <w:p w:rsidR="008E52D8" w:rsidRPr="00CD3820" w:rsidRDefault="00A00AB1" w:rsidP="008E52D8">
      <w:pPr>
        <w:jc w:val="both"/>
      </w:pPr>
      <w:r w:rsidRPr="00CD3820">
        <w:t xml:space="preserve">From a wide ranging consultation, </w:t>
      </w:r>
      <w:r w:rsidR="00213933" w:rsidRPr="00CD3820">
        <w:t>the I</w:t>
      </w:r>
      <w:r w:rsidR="00540B85" w:rsidRPr="00CD3820">
        <w:t>A</w:t>
      </w:r>
      <w:r w:rsidR="00213933" w:rsidRPr="00CD3820">
        <w:t>EG-SDGs group</w:t>
      </w:r>
      <w:r w:rsidRPr="00CD3820">
        <w:t xml:space="preserve"> </w:t>
      </w:r>
      <w:r w:rsidR="00A96FAF" w:rsidRPr="00CD3820">
        <w:t xml:space="preserve">17 SDGs that can be decomposed into 169 targets and a longer list of indicators.  A first list of </w:t>
      </w:r>
      <w:r w:rsidR="00213933" w:rsidRPr="00CD3820">
        <w:t xml:space="preserve">304 </w:t>
      </w:r>
      <w:r w:rsidR="00A96FAF" w:rsidRPr="00CD3820">
        <w:t>indicators was published in March 2015</w:t>
      </w:r>
      <w:r w:rsidR="00A96FAF" w:rsidRPr="00CD3820">
        <w:rPr>
          <w:rStyle w:val="FootnoteReference"/>
        </w:rPr>
        <w:footnoteReference w:id="3"/>
      </w:r>
      <w:r w:rsidR="00A96FAF" w:rsidRPr="00CD3820">
        <w:t>.</w:t>
      </w:r>
      <w:r w:rsidR="001A16A5" w:rsidRPr="00CD3820">
        <w:t xml:space="preserve">  </w:t>
      </w:r>
      <w:r w:rsidR="00A96FAF" w:rsidRPr="00CD3820">
        <w:t xml:space="preserve">Since then, </w:t>
      </w:r>
      <w:r w:rsidR="00FB2AD2" w:rsidRPr="00CD3820">
        <w:t>the 2</w:t>
      </w:r>
      <w:r w:rsidR="00FB2AD2" w:rsidRPr="00CD3820">
        <w:rPr>
          <w:vertAlign w:val="superscript"/>
        </w:rPr>
        <w:t>nd</w:t>
      </w:r>
      <w:r w:rsidR="00FB2AD2" w:rsidRPr="00CD3820">
        <w:t xml:space="preserve"> IAEG-SDGs meeting held in Bangkok in November 4-7, 2015 </w:t>
      </w:r>
      <w:r w:rsidR="00A96FAF" w:rsidRPr="00CD3820">
        <w:t>led to a</w:t>
      </w:r>
      <w:r w:rsidR="006F1477" w:rsidRPr="00CD3820">
        <w:t xml:space="preserve"> new and streamlined list of 224 global</w:t>
      </w:r>
      <w:r w:rsidR="00A96FAF" w:rsidRPr="00CD3820">
        <w:t xml:space="preserve"> indicators</w:t>
      </w:r>
      <w:r w:rsidR="000D77EB" w:rsidRPr="00CD3820">
        <w:rPr>
          <w:rStyle w:val="FootnoteReference"/>
        </w:rPr>
        <w:footnoteReference w:id="4"/>
      </w:r>
      <w:r w:rsidR="001A16A5" w:rsidRPr="00CD3820">
        <w:t xml:space="preserve">.  In order to help the Government of Mongolia in computing those indicators the Ulaanbaatar-based </w:t>
      </w:r>
      <w:r w:rsidR="00051465">
        <w:t xml:space="preserve">UNEP and </w:t>
      </w:r>
      <w:r w:rsidR="001A16A5" w:rsidRPr="00CD3820">
        <w:t>UNDP office</w:t>
      </w:r>
      <w:r w:rsidR="00051465">
        <w:t>s</w:t>
      </w:r>
      <w:r w:rsidR="001A16A5" w:rsidRPr="00CD3820">
        <w:t xml:space="preserve"> sponsored a team of consultants to examine the feasibility of computing those indicators in </w:t>
      </w:r>
      <w:r w:rsidR="008E52D8" w:rsidRPr="00CD3820">
        <w:t xml:space="preserve">the case of </w:t>
      </w:r>
      <w:r w:rsidR="001A16A5" w:rsidRPr="00CD3820">
        <w:t xml:space="preserve">Mongolia.  The work, </w:t>
      </w:r>
      <w:r w:rsidR="006F1477" w:rsidRPr="00CD3820">
        <w:t xml:space="preserve">performed </w:t>
      </w:r>
      <w:r w:rsidR="001A16A5" w:rsidRPr="00CD3820">
        <w:t>in close collaboration with the Mongolian National Statistical Office (NSO)</w:t>
      </w:r>
      <w:r w:rsidR="006F1477" w:rsidRPr="00CD3820">
        <w:t xml:space="preserve"> staff</w:t>
      </w:r>
      <w:r w:rsidR="001A16A5" w:rsidRPr="00CD3820">
        <w:t>, involve</w:t>
      </w:r>
      <w:r w:rsidR="006F1477" w:rsidRPr="00CD3820">
        <w:t xml:space="preserve"> of</w:t>
      </w:r>
      <w:r w:rsidR="008E52D8" w:rsidRPr="00CD3820">
        <w:t xml:space="preserve"> review </w:t>
      </w:r>
      <w:r w:rsidR="006F1477" w:rsidRPr="00CD3820">
        <w:t xml:space="preserve">of </w:t>
      </w:r>
      <w:r w:rsidR="008E52D8" w:rsidRPr="00CD3820">
        <w:t>each global indicators and the</w:t>
      </w:r>
      <w:r w:rsidR="009E4B65" w:rsidRPr="00CD3820">
        <w:t>n determined whether they applied to Mongolia, and if so, whether they are already available or not.</w:t>
      </w:r>
    </w:p>
    <w:p w:rsidR="008E52D8" w:rsidRPr="00CD3820" w:rsidRDefault="008E52D8" w:rsidP="008E52D8">
      <w:pPr>
        <w:jc w:val="both"/>
      </w:pPr>
    </w:p>
    <w:p w:rsidR="006F1477" w:rsidRPr="00CD3820" w:rsidRDefault="009E4B65" w:rsidP="009E4B65">
      <w:pPr>
        <w:jc w:val="both"/>
      </w:pPr>
      <w:r w:rsidRPr="00CD3820">
        <w:t>It should be noted that those indicators are not definitive yet.  Actually, a significant proportion of i</w:t>
      </w:r>
      <w:r w:rsidR="00D00584" w:rsidRPr="00CD3820">
        <w:t xml:space="preserve">ndicators are not consensual for the time being but work is </w:t>
      </w:r>
      <w:r w:rsidR="00213933" w:rsidRPr="00CD3820">
        <w:t>continuing</w:t>
      </w:r>
      <w:r w:rsidR="00D00584" w:rsidRPr="00CD3820">
        <w:t xml:space="preserve"> on trying to reach a consensus on the definition of those indicators.  Ultimately the</w:t>
      </w:r>
      <w:r w:rsidR="00D00584" w:rsidRPr="00CD3820">
        <w:rPr>
          <w:shd w:val="clear" w:color="auto" w:fill="FFFFFF"/>
        </w:rPr>
        <w:t xml:space="preserve"> IAEG-SDGs will provide a proposal of a global indicator framework (and associated global and universal indicators) for consideration by the Statistical Commission at its forty-seventh session in March 2016.</w:t>
      </w:r>
    </w:p>
    <w:p w:rsidR="006F1477" w:rsidRPr="00CD3820" w:rsidRDefault="006F1477" w:rsidP="009E4B65">
      <w:pPr>
        <w:jc w:val="both"/>
      </w:pPr>
    </w:p>
    <w:p w:rsidR="006D57CF" w:rsidRDefault="00530274" w:rsidP="009E4B65">
      <w:pPr>
        <w:jc w:val="both"/>
      </w:pPr>
      <w:r w:rsidRPr="00CD3820">
        <w:t>T</w:t>
      </w:r>
      <w:r w:rsidR="00EC411D">
        <w:t>he UN</w:t>
      </w:r>
      <w:r w:rsidR="009E4B65" w:rsidRPr="00CD3820">
        <w:t xml:space="preserve"> has </w:t>
      </w:r>
      <w:r w:rsidR="00D00584" w:rsidRPr="00CD3820">
        <w:t xml:space="preserve">also </w:t>
      </w:r>
      <w:r w:rsidR="009E4B65" w:rsidRPr="00CD3820">
        <w:t>encouraged government</w:t>
      </w:r>
      <w:r w:rsidRPr="00CD3820">
        <w:t xml:space="preserve"> to set </w:t>
      </w:r>
      <w:r w:rsidR="001C7468">
        <w:t xml:space="preserve">their </w:t>
      </w:r>
      <w:r w:rsidR="009E4B65" w:rsidRPr="00CD3820">
        <w:t>own national targets and indicators to take into account national particularities.</w:t>
      </w:r>
      <w:r w:rsidRPr="00CD3820">
        <w:t xml:space="preserve">  </w:t>
      </w:r>
      <w:r w:rsidR="00D00584" w:rsidRPr="00CD3820">
        <w:t>In order to stimulate the Government</w:t>
      </w:r>
      <w:r w:rsidR="00EC411D">
        <w:t>al</w:t>
      </w:r>
      <w:r w:rsidR="00D00584" w:rsidRPr="00CD3820">
        <w:t xml:space="preserve"> </w:t>
      </w:r>
      <w:r w:rsidR="00EC411D">
        <w:t>exercise</w:t>
      </w:r>
      <w:r w:rsidRPr="00CD3820">
        <w:t xml:space="preserve">, we </w:t>
      </w:r>
      <w:r w:rsidR="00D00584" w:rsidRPr="00CD3820">
        <w:t>are proposing</w:t>
      </w:r>
      <w:r w:rsidRPr="00CD3820">
        <w:t xml:space="preserve"> a series of indicators deem important in the context of Mongolia.  Those indicators are proposal and additional ones are likely to come up in the forthcoming months, either from NSO, Development Partners or the Government of Mongolia.</w:t>
      </w:r>
      <w:r w:rsidR="006B042F">
        <w:t xml:space="preserve"> </w:t>
      </w:r>
    </w:p>
    <w:p w:rsidR="006D57CF" w:rsidRDefault="006D57CF" w:rsidP="009E4B65">
      <w:pPr>
        <w:jc w:val="both"/>
      </w:pPr>
    </w:p>
    <w:p w:rsidR="006D57CF" w:rsidRDefault="00891FBE" w:rsidP="009E4B65">
      <w:pPr>
        <w:jc w:val="both"/>
      </w:pPr>
      <w:r>
        <w:t>We</w:t>
      </w:r>
      <w:r w:rsidR="006D57CF">
        <w:t xml:space="preserve"> provided </w:t>
      </w:r>
      <w:r>
        <w:t xml:space="preserve">technical expertise to </w:t>
      </w:r>
      <w:r w:rsidR="006D57CF">
        <w:t xml:space="preserve">the Research Unit of the Mongolian Parliament </w:t>
      </w:r>
      <w:r w:rsidR="00901E97">
        <w:t xml:space="preserve">by providing </w:t>
      </w:r>
      <w:r w:rsidR="006D57CF">
        <w:t xml:space="preserve">a list of </w:t>
      </w:r>
      <w:r w:rsidR="00B6739C">
        <w:t xml:space="preserve">possible </w:t>
      </w:r>
      <w:r w:rsidR="00901E97">
        <w:t xml:space="preserve">SDG </w:t>
      </w:r>
      <w:r w:rsidR="006D57CF">
        <w:t xml:space="preserve">indicators that could be incorporated in the long-term vision of policy document of the country. </w:t>
      </w:r>
      <w:r>
        <w:t>The Research U</w:t>
      </w:r>
      <w:r w:rsidR="006D57CF">
        <w:t>nit has developed the long-</w:t>
      </w:r>
      <w:r w:rsidR="006D57CF">
        <w:lastRenderedPageBreak/>
        <w:t xml:space="preserve">term vision of policy document and submitted to the Parliament for approval in December 2015. </w:t>
      </w:r>
    </w:p>
    <w:p w:rsidR="00530274" w:rsidRPr="00CD3820" w:rsidRDefault="00530274" w:rsidP="009E4B65">
      <w:pPr>
        <w:jc w:val="both"/>
      </w:pPr>
    </w:p>
    <w:p w:rsidR="00530274" w:rsidRPr="00CD3820" w:rsidRDefault="00530274" w:rsidP="009E4B65">
      <w:pPr>
        <w:jc w:val="both"/>
      </w:pPr>
      <w:r w:rsidRPr="00CD3820">
        <w:t>The next section looks at the different database use for</w:t>
      </w:r>
      <w:r w:rsidR="00020A8D" w:rsidRPr="00CD3820">
        <w:t xml:space="preserve"> our exercise, while </w:t>
      </w:r>
      <w:proofErr w:type="gramStart"/>
      <w:r w:rsidR="00020A8D" w:rsidRPr="00CD3820">
        <w:t>section 3 analyze</w:t>
      </w:r>
      <w:proofErr w:type="gramEnd"/>
      <w:r w:rsidR="00020A8D" w:rsidRPr="00CD3820">
        <w:t xml:space="preserve"> the work done so far. Section 4 looks at how we can </w:t>
      </w:r>
      <w:r w:rsidR="00EC411D" w:rsidRPr="00CD3820">
        <w:t>localize</w:t>
      </w:r>
      <w:r w:rsidR="00020A8D" w:rsidRPr="00CD3820">
        <w:t xml:space="preserve"> the indicators while we complete the report by proposing what should be the next tasks to be performed in order to </w:t>
      </w:r>
      <w:proofErr w:type="spellStart"/>
      <w:r w:rsidR="00020A8D" w:rsidRPr="00CD3820">
        <w:t>operationalize</w:t>
      </w:r>
      <w:proofErr w:type="spellEnd"/>
      <w:r w:rsidR="00020A8D" w:rsidRPr="00CD3820">
        <w:t xml:space="preserve"> those SDG indicators.</w:t>
      </w:r>
    </w:p>
    <w:p w:rsidR="008E52D8" w:rsidRPr="00CD3820" w:rsidRDefault="008E52D8" w:rsidP="008E52D8">
      <w:pPr>
        <w:jc w:val="both"/>
      </w:pPr>
    </w:p>
    <w:p w:rsidR="009E4B65" w:rsidRPr="00CD3820" w:rsidRDefault="009E4B65" w:rsidP="008E52D8">
      <w:pPr>
        <w:jc w:val="both"/>
      </w:pPr>
      <w:r w:rsidRPr="00CD3820">
        <w:t>The main output of this consultancy is a large sprea</w:t>
      </w:r>
      <w:r w:rsidR="0084063F" w:rsidRPr="00CD3820">
        <w:t>dsheet where a series of key information is provided for each indicator.  The current report should be as a companion to this spreadsheet.</w:t>
      </w:r>
    </w:p>
    <w:p w:rsidR="009E4B65" w:rsidRPr="00CD3820" w:rsidRDefault="009E4B65" w:rsidP="008E52D8">
      <w:pPr>
        <w:jc w:val="both"/>
      </w:pPr>
    </w:p>
    <w:p w:rsidR="009E4B65" w:rsidRPr="00CD3820" w:rsidRDefault="00020A8D" w:rsidP="00020A8D">
      <w:pPr>
        <w:pStyle w:val="Heading1"/>
        <w:rPr>
          <w:color w:val="auto"/>
          <w:shd w:val="clear" w:color="auto" w:fill="FFFFFF"/>
        </w:rPr>
      </w:pPr>
      <w:bookmarkStart w:id="1" w:name="_Toc438003091"/>
      <w:r w:rsidRPr="00CD3820">
        <w:rPr>
          <w:color w:val="auto"/>
          <w:shd w:val="clear" w:color="auto" w:fill="FFFFFF"/>
        </w:rPr>
        <w:t xml:space="preserve">2. </w:t>
      </w:r>
      <w:r w:rsidR="00856D65" w:rsidRPr="00CD3820">
        <w:rPr>
          <w:color w:val="auto"/>
          <w:shd w:val="clear" w:color="auto" w:fill="FFFFFF"/>
        </w:rPr>
        <w:t>Databases Used</w:t>
      </w:r>
      <w:bookmarkEnd w:id="1"/>
    </w:p>
    <w:p w:rsidR="0084063F" w:rsidRPr="00CD3820" w:rsidRDefault="0084063F" w:rsidP="009E4B65">
      <w:pPr>
        <w:jc w:val="both"/>
        <w:rPr>
          <w:b/>
        </w:rPr>
      </w:pPr>
    </w:p>
    <w:p w:rsidR="00680E09" w:rsidRPr="00CD3820" w:rsidRDefault="00680E09" w:rsidP="009E4B65">
      <w:pPr>
        <w:jc w:val="both"/>
      </w:pPr>
      <w:r w:rsidRPr="00CD3820">
        <w:t>The SDGs cover 17 different goals covering a great number of socio-economic and natural dimensions that can be measured either at micro level (e.g. health or education) or at macro level (e.g. Inequality, Climate or Infrastructure).  Given the wide variety of indicators i</w:t>
      </w:r>
      <w:r w:rsidR="00E30957" w:rsidRPr="00CD3820">
        <w:t>t would not be a surprise to assert</w:t>
      </w:r>
      <w:r w:rsidRPr="00CD3820">
        <w:t xml:space="preserve"> that t</w:t>
      </w:r>
      <w:r w:rsidR="009E4B65" w:rsidRPr="00CD3820">
        <w:t>he computation of</w:t>
      </w:r>
      <w:r w:rsidRPr="00CD3820">
        <w:t xml:space="preserve"> those </w:t>
      </w:r>
      <w:r w:rsidR="009E4B65" w:rsidRPr="00CD3820">
        <w:t>SDG indicators demands data from many sources</w:t>
      </w:r>
      <w:r w:rsidRPr="00CD3820">
        <w:t>, some easily available while other less so</w:t>
      </w:r>
      <w:r w:rsidR="009E4B65" w:rsidRPr="00CD3820">
        <w:t>.</w:t>
      </w:r>
    </w:p>
    <w:p w:rsidR="00E30957" w:rsidRPr="00CD3820" w:rsidRDefault="00E30957" w:rsidP="009E4B65">
      <w:pPr>
        <w:jc w:val="both"/>
      </w:pPr>
    </w:p>
    <w:p w:rsidR="00B95A0B" w:rsidRDefault="00E30957" w:rsidP="009E4B65">
      <w:pPr>
        <w:jc w:val="both"/>
      </w:pPr>
      <w:r w:rsidRPr="00CD3820">
        <w:t>Broadly speaking, the different indicators could either</w:t>
      </w:r>
      <w:r w:rsidR="00B95A0B" w:rsidRPr="00CD3820">
        <w:t xml:space="preserve"> come</w:t>
      </w:r>
      <w:r w:rsidRPr="00CD3820">
        <w:t xml:space="preserve"> micro sources such as household survey or population </w:t>
      </w:r>
      <w:proofErr w:type="gramStart"/>
      <w:r w:rsidRPr="00CD3820">
        <w:t>census,</w:t>
      </w:r>
      <w:proofErr w:type="gramEnd"/>
      <w:r w:rsidRPr="00CD3820">
        <w:t xml:space="preserve"> </w:t>
      </w:r>
      <w:r w:rsidR="00907BF2" w:rsidRPr="00CD3820">
        <w:t xml:space="preserve">or from </w:t>
      </w:r>
      <w:r w:rsidRPr="00CD3820">
        <w:t>administrative database such as compilation from different ministries.</w:t>
      </w:r>
      <w:r w:rsidR="00B95A0B" w:rsidRPr="00CD3820">
        <w:t xml:space="preserve">  Among indicators that should be computed from household surveys or population censuses, we found out that some indicators were already computed, some could be easily computed from existing databases and finally, some more indicators could be estimated by adding questions to forthcoming household surveys or population censuses.  </w:t>
      </w:r>
    </w:p>
    <w:p w:rsidR="007E3BD6" w:rsidRDefault="007E3BD6" w:rsidP="009E4B65">
      <w:pPr>
        <w:jc w:val="both"/>
      </w:pPr>
    </w:p>
    <w:p w:rsidR="007E3BD6" w:rsidRPr="00CD3820" w:rsidRDefault="007E3BD6" w:rsidP="007E3BD6">
      <w:pPr>
        <w:jc w:val="both"/>
      </w:pPr>
      <w:r w:rsidRPr="00CD3820">
        <w:t>From our consultancy, we found out that the most useful micro-level databases have been:</w:t>
      </w:r>
    </w:p>
    <w:p w:rsidR="007E3BD6" w:rsidRPr="00CD3820" w:rsidRDefault="007E3BD6" w:rsidP="007E3BD6">
      <w:pPr>
        <w:pStyle w:val="ListParagraph"/>
        <w:numPr>
          <w:ilvl w:val="0"/>
          <w:numId w:val="24"/>
        </w:numPr>
        <w:jc w:val="both"/>
        <w:rPr>
          <w:lang w:val="en-CA"/>
        </w:rPr>
      </w:pPr>
      <w:r w:rsidRPr="00CD3820">
        <w:rPr>
          <w:lang w:val="en-CA"/>
        </w:rPr>
        <w:t>Social Indicator Sample Survey (SISS) 2013-14</w:t>
      </w:r>
    </w:p>
    <w:p w:rsidR="007E3BD6" w:rsidRPr="00CD3820" w:rsidRDefault="007E3BD6" w:rsidP="007E3BD6">
      <w:pPr>
        <w:pStyle w:val="ListParagraph"/>
        <w:numPr>
          <w:ilvl w:val="0"/>
          <w:numId w:val="24"/>
        </w:numPr>
        <w:jc w:val="both"/>
      </w:pPr>
      <w:proofErr w:type="spellStart"/>
      <w:r w:rsidRPr="00CD3820">
        <w:t>Labour</w:t>
      </w:r>
      <w:proofErr w:type="spellEnd"/>
      <w:r w:rsidRPr="00CD3820">
        <w:t xml:space="preserve"> Force Survey</w:t>
      </w:r>
    </w:p>
    <w:p w:rsidR="007E3BD6" w:rsidRPr="00CD3820" w:rsidRDefault="007E3BD6" w:rsidP="007E3BD6">
      <w:pPr>
        <w:pStyle w:val="ListParagraph"/>
        <w:numPr>
          <w:ilvl w:val="0"/>
          <w:numId w:val="24"/>
        </w:numPr>
        <w:jc w:val="both"/>
      </w:pPr>
      <w:r w:rsidRPr="00CD3820">
        <w:t>Household Socio-Economic Survey (HSES)</w:t>
      </w:r>
    </w:p>
    <w:p w:rsidR="007E3BD6" w:rsidRPr="00CD3820" w:rsidRDefault="007E3BD6" w:rsidP="007E3BD6">
      <w:pPr>
        <w:pStyle w:val="ListParagraph"/>
        <w:numPr>
          <w:ilvl w:val="0"/>
          <w:numId w:val="24"/>
        </w:numPr>
        <w:jc w:val="both"/>
        <w:rPr>
          <w:lang w:val="en-CA"/>
        </w:rPr>
      </w:pPr>
      <w:r w:rsidRPr="00CD3820">
        <w:rPr>
          <w:lang w:val="en-CA"/>
        </w:rPr>
        <w:t>Population and Housing Census</w:t>
      </w:r>
    </w:p>
    <w:p w:rsidR="007E3BD6" w:rsidRPr="00CD3820" w:rsidRDefault="007E3BD6" w:rsidP="007E3BD6">
      <w:pPr>
        <w:jc w:val="both"/>
        <w:rPr>
          <w:lang w:val="en-CA"/>
        </w:rPr>
      </w:pPr>
    </w:p>
    <w:p w:rsidR="007E3BD6" w:rsidRPr="00CD3820" w:rsidRDefault="007E3BD6" w:rsidP="007E3BD6">
      <w:pPr>
        <w:jc w:val="both"/>
      </w:pPr>
      <w:r w:rsidRPr="00CD3820">
        <w:t>The other sources of data have been a series of report produced by different ministries or organization link to the Government of Mongolia. Table 1 gives the list of the different reports used.</w:t>
      </w:r>
    </w:p>
    <w:p w:rsidR="007E3BD6" w:rsidRPr="00CD3820" w:rsidRDefault="007E3BD6" w:rsidP="007E3BD6">
      <w:pPr>
        <w:jc w:val="both"/>
      </w:pPr>
    </w:p>
    <w:p w:rsidR="007E3BD6" w:rsidRDefault="007E3BD6" w:rsidP="009E4B65">
      <w:pPr>
        <w:jc w:val="both"/>
      </w:pPr>
    </w:p>
    <w:p w:rsidR="007E3BD6" w:rsidRDefault="007E3BD6" w:rsidP="009E4B65">
      <w:pPr>
        <w:jc w:val="both"/>
      </w:pPr>
    </w:p>
    <w:p w:rsidR="007E3BD6" w:rsidRDefault="007E3BD6" w:rsidP="009E4B65">
      <w:pPr>
        <w:jc w:val="both"/>
      </w:pPr>
    </w:p>
    <w:p w:rsidR="007E3BD6" w:rsidRDefault="007E3BD6" w:rsidP="009E4B65">
      <w:pPr>
        <w:jc w:val="both"/>
      </w:pPr>
    </w:p>
    <w:p w:rsidR="007E3BD6" w:rsidRDefault="007E3BD6" w:rsidP="009E4B65">
      <w:pPr>
        <w:jc w:val="both"/>
      </w:pPr>
    </w:p>
    <w:p w:rsidR="007E3BD6" w:rsidRDefault="007E3BD6" w:rsidP="009E4B65">
      <w:pPr>
        <w:jc w:val="both"/>
      </w:pPr>
    </w:p>
    <w:p w:rsidR="007E3BD6" w:rsidRDefault="007E3BD6" w:rsidP="009E4B65">
      <w:pPr>
        <w:jc w:val="both"/>
      </w:pPr>
    </w:p>
    <w:p w:rsidR="007E3BD6" w:rsidRPr="00CD3820" w:rsidRDefault="007E3BD6" w:rsidP="009E4B65">
      <w:pPr>
        <w:jc w:val="both"/>
      </w:pPr>
    </w:p>
    <w:p w:rsidR="0062277A" w:rsidRPr="00CD3820" w:rsidRDefault="0062277A" w:rsidP="009E4B65">
      <w:pPr>
        <w:jc w:val="both"/>
      </w:pPr>
    </w:p>
    <w:p w:rsidR="006459B3" w:rsidRPr="00CD3820" w:rsidRDefault="006E1208" w:rsidP="008E52D8">
      <w:pPr>
        <w:jc w:val="both"/>
        <w:rPr>
          <w:b/>
          <w:lang w:val="en-CA"/>
        </w:rPr>
      </w:pPr>
      <w:r w:rsidRPr="00CD3820">
        <w:rPr>
          <w:b/>
          <w:lang w:val="en-CA"/>
        </w:rPr>
        <w:lastRenderedPageBreak/>
        <w:t xml:space="preserve">Table </w:t>
      </w:r>
      <w:r w:rsidR="00810077" w:rsidRPr="00CD3820">
        <w:rPr>
          <w:b/>
          <w:lang w:val="en-CA"/>
        </w:rPr>
        <w:t>1</w:t>
      </w:r>
      <w:r w:rsidRPr="00CD3820">
        <w:rPr>
          <w:b/>
          <w:lang w:val="en-CA"/>
        </w:rPr>
        <w:t>: List of Documents Used</w:t>
      </w:r>
    </w:p>
    <w:tbl>
      <w:tblPr>
        <w:tblW w:w="9360" w:type="dxa"/>
        <w:tblInd w:w="108" w:type="dxa"/>
        <w:tblLook w:val="04A0"/>
      </w:tblPr>
      <w:tblGrid>
        <w:gridCol w:w="1577"/>
        <w:gridCol w:w="7783"/>
      </w:tblGrid>
      <w:tr w:rsidR="006459B3" w:rsidRPr="00CD3820" w:rsidTr="006E1208">
        <w:trPr>
          <w:trHeight w:val="240"/>
        </w:trPr>
        <w:tc>
          <w:tcPr>
            <w:tcW w:w="1577" w:type="dxa"/>
            <w:tcBorders>
              <w:top w:val="single" w:sz="12" w:space="0" w:color="000000"/>
              <w:left w:val="nil"/>
              <w:bottom w:val="single" w:sz="6" w:space="0" w:color="000000"/>
              <w:right w:val="nil"/>
            </w:tcBorders>
            <w:shd w:val="clear" w:color="auto" w:fill="auto"/>
            <w:noWrap/>
            <w:vAlign w:val="center"/>
            <w:hideMark/>
          </w:tcPr>
          <w:p w:rsidR="006459B3" w:rsidRPr="00CD3820" w:rsidRDefault="006459B3">
            <w:pPr>
              <w:rPr>
                <w:rFonts w:ascii="Arial" w:hAnsi="Arial" w:cs="Arial"/>
                <w:b/>
                <w:bCs/>
                <w:sz w:val="22"/>
                <w:szCs w:val="22"/>
              </w:rPr>
            </w:pPr>
            <w:r w:rsidRPr="00CD3820">
              <w:rPr>
                <w:rFonts w:ascii="Arial" w:hAnsi="Arial" w:cs="Arial"/>
                <w:b/>
                <w:bCs/>
                <w:sz w:val="22"/>
                <w:szCs w:val="22"/>
              </w:rPr>
              <w:t>Code</w:t>
            </w:r>
          </w:p>
        </w:tc>
        <w:tc>
          <w:tcPr>
            <w:tcW w:w="7783" w:type="dxa"/>
            <w:tcBorders>
              <w:top w:val="single" w:sz="12" w:space="0" w:color="000000"/>
              <w:left w:val="nil"/>
              <w:bottom w:val="single" w:sz="6" w:space="0" w:color="000000"/>
              <w:right w:val="nil"/>
            </w:tcBorders>
            <w:shd w:val="clear" w:color="auto" w:fill="auto"/>
            <w:vAlign w:val="center"/>
            <w:hideMark/>
          </w:tcPr>
          <w:p w:rsidR="006459B3" w:rsidRPr="00CD3820" w:rsidRDefault="006459B3">
            <w:pPr>
              <w:rPr>
                <w:rFonts w:ascii="Arial" w:hAnsi="Arial" w:cs="Arial"/>
                <w:b/>
                <w:bCs/>
                <w:sz w:val="22"/>
                <w:szCs w:val="22"/>
              </w:rPr>
            </w:pPr>
            <w:r w:rsidRPr="00CD3820">
              <w:rPr>
                <w:rFonts w:ascii="Arial" w:hAnsi="Arial" w:cs="Arial"/>
                <w:b/>
                <w:bCs/>
                <w:sz w:val="22"/>
                <w:szCs w:val="22"/>
              </w:rPr>
              <w:t>References</w:t>
            </w:r>
          </w:p>
        </w:tc>
      </w:tr>
      <w:tr w:rsidR="006459B3" w:rsidRPr="00CD3820" w:rsidTr="006E1208">
        <w:trPr>
          <w:trHeight w:val="276"/>
        </w:trPr>
        <w:tc>
          <w:tcPr>
            <w:tcW w:w="1577" w:type="dxa"/>
            <w:tcBorders>
              <w:top w:val="single" w:sz="6" w:space="0" w:color="000000"/>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1</w:t>
            </w:r>
          </w:p>
        </w:tc>
        <w:tc>
          <w:tcPr>
            <w:tcW w:w="7783" w:type="dxa"/>
            <w:tcBorders>
              <w:top w:val="single" w:sz="6" w:space="0" w:color="000000"/>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2014 Human Deve</w:t>
            </w:r>
            <w:r w:rsidR="006E1208" w:rsidRPr="00CD3820">
              <w:rPr>
                <w:rFonts w:ascii="Arial" w:hAnsi="Arial" w:cs="Arial"/>
                <w:sz w:val="22"/>
                <w:szCs w:val="22"/>
              </w:rPr>
              <w:t>lopment Statistical Tables</w:t>
            </w:r>
            <w:r w:rsidRPr="00CD3820">
              <w:rPr>
                <w:rFonts w:ascii="Arial" w:hAnsi="Arial" w:cs="Arial"/>
                <w:sz w:val="22"/>
                <w:szCs w:val="22"/>
              </w:rPr>
              <w:t xml:space="preserve"> </w:t>
            </w:r>
          </w:p>
        </w:tc>
      </w:tr>
      <w:tr w:rsidR="006459B3" w:rsidRPr="00CD3820" w:rsidTr="006E1208">
        <w:trPr>
          <w:trHeight w:val="276"/>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2</w:t>
            </w:r>
          </w:p>
        </w:tc>
        <w:tc>
          <w:tcPr>
            <w:tcW w:w="7783"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Mongolia Poverty Profile 2014 (in Mongolia</w:t>
            </w:r>
            <w:r w:rsidR="006E1208" w:rsidRPr="00CD3820">
              <w:rPr>
                <w:rFonts w:ascii="Arial" w:hAnsi="Arial" w:cs="Arial"/>
                <w:sz w:val="22"/>
                <w:szCs w:val="22"/>
              </w:rPr>
              <w:t>n</w:t>
            </w:r>
            <w:r w:rsidRPr="00CD3820">
              <w:rPr>
                <w:rFonts w:ascii="Arial" w:hAnsi="Arial" w:cs="Arial"/>
                <w:sz w:val="22"/>
                <w:szCs w:val="22"/>
              </w:rPr>
              <w:t xml:space="preserve"> only)</w:t>
            </w:r>
          </w:p>
        </w:tc>
      </w:tr>
      <w:tr w:rsidR="006459B3" w:rsidRPr="00CD3820" w:rsidTr="006E1208">
        <w:trPr>
          <w:trHeight w:val="276"/>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3</w:t>
            </w:r>
          </w:p>
        </w:tc>
        <w:tc>
          <w:tcPr>
            <w:tcW w:w="7783"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Mongolia Poverty Map 2011, NSO</w:t>
            </w:r>
          </w:p>
        </w:tc>
      </w:tr>
      <w:tr w:rsidR="006459B3" w:rsidRPr="00CD3820" w:rsidTr="006E1208">
        <w:trPr>
          <w:trHeight w:val="276"/>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4</w:t>
            </w:r>
          </w:p>
        </w:tc>
        <w:tc>
          <w:tcPr>
            <w:tcW w:w="7783" w:type="dxa"/>
            <w:tcBorders>
              <w:top w:val="nil"/>
              <w:left w:val="nil"/>
              <w:bottom w:val="nil"/>
              <w:right w:val="nil"/>
            </w:tcBorders>
            <w:shd w:val="clear" w:color="auto" w:fill="auto"/>
            <w:noWrap/>
            <w:hideMark/>
          </w:tcPr>
          <w:p w:rsidR="006459B3" w:rsidRPr="00CD3820" w:rsidRDefault="006E1208" w:rsidP="006E1208">
            <w:pPr>
              <w:rPr>
                <w:rFonts w:ascii="Arial" w:hAnsi="Arial" w:cs="Arial"/>
                <w:sz w:val="22"/>
                <w:szCs w:val="22"/>
              </w:rPr>
            </w:pPr>
            <w:r w:rsidRPr="00CD3820">
              <w:rPr>
                <w:rFonts w:ascii="Arial" w:hAnsi="Arial" w:cs="Arial"/>
                <w:sz w:val="22"/>
                <w:szCs w:val="22"/>
              </w:rPr>
              <w:t>Definitive Excel files for the E</w:t>
            </w:r>
            <w:r w:rsidR="006459B3" w:rsidRPr="00CD3820">
              <w:rPr>
                <w:rFonts w:ascii="Arial" w:hAnsi="Arial" w:cs="Arial"/>
                <w:sz w:val="22"/>
                <w:szCs w:val="22"/>
              </w:rPr>
              <w:t>nglish version of the forthcoming SISS report</w:t>
            </w:r>
          </w:p>
        </w:tc>
      </w:tr>
      <w:tr w:rsidR="006459B3" w:rsidRPr="00CD3820" w:rsidTr="006E1208">
        <w:trPr>
          <w:trHeight w:val="276"/>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5</w:t>
            </w:r>
          </w:p>
        </w:tc>
        <w:tc>
          <w:tcPr>
            <w:tcW w:w="7783"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Mongolian Statistical Yearbook 2014, NSO</w:t>
            </w:r>
          </w:p>
        </w:tc>
      </w:tr>
      <w:tr w:rsidR="006459B3" w:rsidRPr="00CD3820" w:rsidTr="006E1208">
        <w:trPr>
          <w:trHeight w:val="276"/>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6</w:t>
            </w:r>
          </w:p>
        </w:tc>
        <w:tc>
          <w:tcPr>
            <w:tcW w:w="7783"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Agricultural Census Report, 2011, NSO</w:t>
            </w:r>
          </w:p>
        </w:tc>
      </w:tr>
      <w:tr w:rsidR="006459B3" w:rsidRPr="00CD3820" w:rsidTr="006E1208">
        <w:trPr>
          <w:trHeight w:val="276"/>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7</w:t>
            </w:r>
          </w:p>
        </w:tc>
        <w:tc>
          <w:tcPr>
            <w:tcW w:w="7783"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 xml:space="preserve">Center for Health Development (2014), Health Indicators 2014, </w:t>
            </w:r>
          </w:p>
        </w:tc>
      </w:tr>
      <w:tr w:rsidR="006459B3" w:rsidRPr="00CD3820" w:rsidTr="006E1208">
        <w:trPr>
          <w:trHeight w:val="276"/>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8</w:t>
            </w:r>
          </w:p>
        </w:tc>
        <w:tc>
          <w:tcPr>
            <w:tcW w:w="7783"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Special compilation from Mental National Health Center of the Ministry of Health and Sport</w:t>
            </w:r>
          </w:p>
        </w:tc>
      </w:tr>
      <w:tr w:rsidR="006459B3" w:rsidRPr="00CD3820" w:rsidTr="006E1208">
        <w:trPr>
          <w:trHeight w:val="276"/>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9</w:t>
            </w:r>
          </w:p>
        </w:tc>
        <w:tc>
          <w:tcPr>
            <w:tcW w:w="7783"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Police department - Admin</w:t>
            </w:r>
            <w:r w:rsidR="006E1208" w:rsidRPr="00CD3820">
              <w:rPr>
                <w:rFonts w:ascii="Arial" w:hAnsi="Arial" w:cs="Arial"/>
                <w:sz w:val="22"/>
                <w:szCs w:val="22"/>
              </w:rPr>
              <w:t>i</w:t>
            </w:r>
            <w:r w:rsidRPr="00CD3820">
              <w:rPr>
                <w:rFonts w:ascii="Arial" w:hAnsi="Arial" w:cs="Arial"/>
                <w:sz w:val="22"/>
                <w:szCs w:val="22"/>
              </w:rPr>
              <w:t>strative report 2014</w:t>
            </w:r>
          </w:p>
        </w:tc>
      </w:tr>
      <w:tr w:rsidR="006459B3" w:rsidRPr="00CD3820" w:rsidTr="006E1208">
        <w:trPr>
          <w:trHeight w:val="276"/>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10</w:t>
            </w:r>
          </w:p>
        </w:tc>
        <w:tc>
          <w:tcPr>
            <w:tcW w:w="7783"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Special compilation from Ministry of Health</w:t>
            </w:r>
          </w:p>
        </w:tc>
      </w:tr>
      <w:tr w:rsidR="006459B3" w:rsidRPr="00CD3820" w:rsidTr="006E1208">
        <w:trPr>
          <w:trHeight w:val="276"/>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11</w:t>
            </w:r>
          </w:p>
        </w:tc>
        <w:tc>
          <w:tcPr>
            <w:tcW w:w="7783"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Social Indicators' sample Survey report, NSO, 2015 (Tables in English)</w:t>
            </w:r>
          </w:p>
        </w:tc>
      </w:tr>
      <w:tr w:rsidR="006459B3" w:rsidRPr="00CD3820" w:rsidTr="006E1208">
        <w:trPr>
          <w:trHeight w:val="276"/>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12</w:t>
            </w:r>
          </w:p>
        </w:tc>
        <w:tc>
          <w:tcPr>
            <w:tcW w:w="7783"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Report of Time Use Survey, NSO, 2011</w:t>
            </w:r>
          </w:p>
        </w:tc>
      </w:tr>
      <w:tr w:rsidR="006459B3" w:rsidRPr="00CD3820" w:rsidTr="006E1208">
        <w:trPr>
          <w:trHeight w:val="276"/>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13</w:t>
            </w:r>
          </w:p>
        </w:tc>
        <w:tc>
          <w:tcPr>
            <w:tcW w:w="7783" w:type="dxa"/>
            <w:tcBorders>
              <w:top w:val="nil"/>
              <w:left w:val="nil"/>
              <w:bottom w:val="nil"/>
              <w:right w:val="nil"/>
            </w:tcBorders>
            <w:shd w:val="clear" w:color="auto" w:fill="auto"/>
            <w:noWrap/>
            <w:hideMark/>
          </w:tcPr>
          <w:p w:rsidR="006459B3" w:rsidRPr="00CD3820" w:rsidRDefault="006E1208" w:rsidP="006E1208">
            <w:pPr>
              <w:rPr>
                <w:rFonts w:ascii="Arial" w:hAnsi="Arial" w:cs="Arial"/>
                <w:sz w:val="22"/>
                <w:szCs w:val="22"/>
              </w:rPr>
            </w:pPr>
            <w:r w:rsidRPr="00CD3820">
              <w:rPr>
                <w:rFonts w:ascii="Arial" w:hAnsi="Arial" w:cs="Arial"/>
                <w:sz w:val="22"/>
                <w:szCs w:val="22"/>
              </w:rPr>
              <w:t>2010 P</w:t>
            </w:r>
            <w:r w:rsidR="006459B3" w:rsidRPr="00CD3820">
              <w:rPr>
                <w:rFonts w:ascii="Arial" w:hAnsi="Arial" w:cs="Arial"/>
                <w:sz w:val="22"/>
                <w:szCs w:val="22"/>
              </w:rPr>
              <w:t>opul</w:t>
            </w:r>
            <w:r w:rsidRPr="00CD3820">
              <w:rPr>
                <w:rFonts w:ascii="Arial" w:hAnsi="Arial" w:cs="Arial"/>
                <w:sz w:val="22"/>
                <w:szCs w:val="22"/>
              </w:rPr>
              <w:t>ation and Housing C</w:t>
            </w:r>
            <w:r w:rsidR="006459B3" w:rsidRPr="00CD3820">
              <w:rPr>
                <w:rFonts w:ascii="Arial" w:hAnsi="Arial" w:cs="Arial"/>
                <w:sz w:val="22"/>
                <w:szCs w:val="22"/>
              </w:rPr>
              <w:t>e</w:t>
            </w:r>
            <w:r w:rsidRPr="00CD3820">
              <w:rPr>
                <w:rFonts w:ascii="Arial" w:hAnsi="Arial" w:cs="Arial"/>
                <w:sz w:val="22"/>
                <w:szCs w:val="22"/>
              </w:rPr>
              <w:t xml:space="preserve">nsus national report, NSO, </w:t>
            </w:r>
            <w:r w:rsidR="006459B3" w:rsidRPr="00CD3820">
              <w:rPr>
                <w:rFonts w:ascii="Arial" w:hAnsi="Arial" w:cs="Arial"/>
                <w:sz w:val="22"/>
                <w:szCs w:val="22"/>
              </w:rPr>
              <w:t>(English version)</w:t>
            </w:r>
          </w:p>
        </w:tc>
      </w:tr>
      <w:tr w:rsidR="006459B3" w:rsidRPr="00CD3820" w:rsidTr="006E1208">
        <w:trPr>
          <w:trHeight w:val="276"/>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14</w:t>
            </w:r>
          </w:p>
        </w:tc>
        <w:tc>
          <w:tcPr>
            <w:tcW w:w="7783"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Thematic census report: Economic activity, NSO, 2011</w:t>
            </w:r>
          </w:p>
        </w:tc>
      </w:tr>
      <w:tr w:rsidR="006459B3" w:rsidRPr="00CD3820" w:rsidTr="006E1208">
        <w:trPr>
          <w:trHeight w:val="276"/>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15</w:t>
            </w:r>
          </w:p>
        </w:tc>
        <w:tc>
          <w:tcPr>
            <w:tcW w:w="7783"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 xml:space="preserve">Report on </w:t>
            </w:r>
            <w:proofErr w:type="spellStart"/>
            <w:r w:rsidRPr="00CD3820">
              <w:rPr>
                <w:rFonts w:ascii="Arial" w:hAnsi="Arial" w:cs="Arial"/>
                <w:sz w:val="22"/>
                <w:szCs w:val="22"/>
              </w:rPr>
              <w:t>Labour</w:t>
            </w:r>
            <w:proofErr w:type="spellEnd"/>
            <w:r w:rsidRPr="00CD3820">
              <w:rPr>
                <w:rFonts w:ascii="Arial" w:hAnsi="Arial" w:cs="Arial"/>
                <w:sz w:val="22"/>
                <w:szCs w:val="22"/>
              </w:rPr>
              <w:t xml:space="preserve"> Force Survey, NSO, 2014. (in Mongolian only)</w:t>
            </w:r>
          </w:p>
        </w:tc>
      </w:tr>
      <w:tr w:rsidR="006459B3" w:rsidRPr="00CD3820" w:rsidTr="006E1208">
        <w:trPr>
          <w:trHeight w:val="282"/>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16</w:t>
            </w:r>
          </w:p>
        </w:tc>
        <w:tc>
          <w:tcPr>
            <w:tcW w:w="7783"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Report of the UB S</w:t>
            </w:r>
            <w:r w:rsidR="006E1208" w:rsidRPr="00CD3820">
              <w:rPr>
                <w:rFonts w:ascii="Arial" w:hAnsi="Arial" w:cs="Arial"/>
                <w:sz w:val="22"/>
                <w:szCs w:val="22"/>
              </w:rPr>
              <w:t>tatistics Division, UBSD, 2014.</w:t>
            </w:r>
          </w:p>
        </w:tc>
      </w:tr>
      <w:tr w:rsidR="006459B3" w:rsidRPr="00CD3820" w:rsidTr="006E1208">
        <w:trPr>
          <w:trHeight w:val="276"/>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17</w:t>
            </w:r>
          </w:p>
        </w:tc>
        <w:tc>
          <w:tcPr>
            <w:tcW w:w="7783"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Statistical aggregated data on hazardous and nat</w:t>
            </w:r>
            <w:r w:rsidR="006E1208" w:rsidRPr="00CD3820">
              <w:rPr>
                <w:rFonts w:ascii="Arial" w:hAnsi="Arial" w:cs="Arial"/>
                <w:sz w:val="22"/>
                <w:szCs w:val="22"/>
              </w:rPr>
              <w:t xml:space="preserve">ural disasters, NEMA, </w:t>
            </w:r>
            <w:r w:rsidRPr="00CD3820">
              <w:rPr>
                <w:rFonts w:ascii="Arial" w:hAnsi="Arial" w:cs="Arial"/>
                <w:sz w:val="22"/>
                <w:szCs w:val="22"/>
              </w:rPr>
              <w:t>2015</w:t>
            </w:r>
          </w:p>
        </w:tc>
      </w:tr>
      <w:tr w:rsidR="006459B3" w:rsidRPr="00CD3820" w:rsidTr="006E1208">
        <w:trPr>
          <w:trHeight w:val="276"/>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18</w:t>
            </w:r>
          </w:p>
        </w:tc>
        <w:tc>
          <w:tcPr>
            <w:tcW w:w="7783"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Living environment in Ulaanbaatar city, UBSD, 2014. http://ubstat.mn/Report</w:t>
            </w:r>
          </w:p>
        </w:tc>
      </w:tr>
      <w:tr w:rsidR="006459B3" w:rsidRPr="00CD3820" w:rsidTr="006E1208">
        <w:trPr>
          <w:trHeight w:val="276"/>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19</w:t>
            </w:r>
          </w:p>
        </w:tc>
        <w:tc>
          <w:tcPr>
            <w:tcW w:w="7783"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 xml:space="preserve">September 2015 crime statistical report, NSO, 2015 </w:t>
            </w:r>
          </w:p>
        </w:tc>
      </w:tr>
      <w:tr w:rsidR="006459B3" w:rsidRPr="00CD3820" w:rsidTr="006E1208">
        <w:trPr>
          <w:trHeight w:val="276"/>
        </w:trPr>
        <w:tc>
          <w:tcPr>
            <w:tcW w:w="1577"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20</w:t>
            </w:r>
          </w:p>
        </w:tc>
        <w:tc>
          <w:tcPr>
            <w:tcW w:w="7783" w:type="dxa"/>
            <w:tcBorders>
              <w:top w:val="nil"/>
              <w:left w:val="nil"/>
              <w:bottom w:val="nil"/>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Statistical yearbook, NSO, 2014</w:t>
            </w:r>
          </w:p>
        </w:tc>
      </w:tr>
      <w:tr w:rsidR="006459B3" w:rsidRPr="00CD3820" w:rsidTr="006E1208">
        <w:trPr>
          <w:trHeight w:val="276"/>
        </w:trPr>
        <w:tc>
          <w:tcPr>
            <w:tcW w:w="1577" w:type="dxa"/>
            <w:tcBorders>
              <w:top w:val="nil"/>
              <w:left w:val="nil"/>
              <w:bottom w:val="single" w:sz="12" w:space="0" w:color="000000"/>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21</w:t>
            </w:r>
          </w:p>
        </w:tc>
        <w:tc>
          <w:tcPr>
            <w:tcW w:w="7783" w:type="dxa"/>
            <w:tcBorders>
              <w:top w:val="nil"/>
              <w:left w:val="nil"/>
              <w:bottom w:val="single" w:sz="12" w:space="0" w:color="000000"/>
              <w:right w:val="nil"/>
            </w:tcBorders>
            <w:shd w:val="clear" w:color="auto" w:fill="auto"/>
            <w:noWrap/>
            <w:hideMark/>
          </w:tcPr>
          <w:p w:rsidR="006459B3" w:rsidRPr="00CD3820" w:rsidRDefault="006459B3" w:rsidP="006E1208">
            <w:pPr>
              <w:rPr>
                <w:rFonts w:ascii="Arial" w:hAnsi="Arial" w:cs="Arial"/>
                <w:sz w:val="22"/>
                <w:szCs w:val="22"/>
              </w:rPr>
            </w:pPr>
            <w:r w:rsidRPr="00CD3820">
              <w:rPr>
                <w:rFonts w:ascii="Arial" w:hAnsi="Arial" w:cs="Arial"/>
                <w:sz w:val="22"/>
                <w:szCs w:val="22"/>
              </w:rPr>
              <w:t>Trade Policy Review, WTO, 2014</w:t>
            </w:r>
          </w:p>
        </w:tc>
      </w:tr>
    </w:tbl>
    <w:p w:rsidR="006459B3" w:rsidRDefault="006459B3" w:rsidP="008E52D8">
      <w:pPr>
        <w:jc w:val="both"/>
        <w:rPr>
          <w:lang w:val="en-CA"/>
        </w:rPr>
      </w:pPr>
    </w:p>
    <w:p w:rsidR="00CD3820" w:rsidRPr="00CD3820" w:rsidRDefault="00CD3820" w:rsidP="008E52D8">
      <w:pPr>
        <w:jc w:val="both"/>
        <w:rPr>
          <w:lang w:val="en-CA"/>
        </w:rPr>
      </w:pPr>
    </w:p>
    <w:p w:rsidR="009E4B65" w:rsidRPr="00CD3820" w:rsidRDefault="00020A8D" w:rsidP="00020A8D">
      <w:pPr>
        <w:pStyle w:val="Heading1"/>
        <w:rPr>
          <w:color w:val="auto"/>
        </w:rPr>
      </w:pPr>
      <w:bookmarkStart w:id="2" w:name="_Toc438003092"/>
      <w:r w:rsidRPr="00CD3820">
        <w:rPr>
          <w:color w:val="auto"/>
        </w:rPr>
        <w:t xml:space="preserve">3. </w:t>
      </w:r>
      <w:r w:rsidR="009E4B65" w:rsidRPr="00CD3820">
        <w:rPr>
          <w:color w:val="auto"/>
        </w:rPr>
        <w:t xml:space="preserve">Goals, Targets and </w:t>
      </w:r>
      <w:r w:rsidR="00810077" w:rsidRPr="00CD3820">
        <w:rPr>
          <w:color w:val="auto"/>
        </w:rPr>
        <w:t xml:space="preserve">Global </w:t>
      </w:r>
      <w:r w:rsidR="009E4B65" w:rsidRPr="00CD3820">
        <w:rPr>
          <w:color w:val="auto"/>
        </w:rPr>
        <w:t>Indicators</w:t>
      </w:r>
      <w:bookmarkEnd w:id="2"/>
    </w:p>
    <w:p w:rsidR="008E52D8" w:rsidRPr="00CD3820" w:rsidRDefault="008E52D8" w:rsidP="008E52D8">
      <w:pPr>
        <w:jc w:val="both"/>
      </w:pPr>
    </w:p>
    <w:p w:rsidR="00EA4AD3" w:rsidRPr="00CD3820" w:rsidRDefault="00F00113" w:rsidP="00A96FAF">
      <w:pPr>
        <w:jc w:val="both"/>
      </w:pPr>
      <w:r w:rsidRPr="00CD3820">
        <w:t>For each of the 17 goals, Table 2 presents the number of global indicators according to different criteria.  In the latest document produced by the IAEG-SDGs</w:t>
      </w:r>
      <w:r w:rsidR="00FF0C54">
        <w:t xml:space="preserve"> group (</w:t>
      </w:r>
      <w:r w:rsidRPr="00CD3820">
        <w:t>in November 2015</w:t>
      </w:r>
      <w:r w:rsidR="00FF0C54">
        <w:t>)</w:t>
      </w:r>
      <w:r w:rsidRPr="00CD3820">
        <w:t xml:space="preserve">, 224 indicators are defined across all goals.  However, the numbers of indicators vary a lot across goals.  While Health, Justice and Global Development </w:t>
      </w:r>
      <w:proofErr w:type="gramStart"/>
      <w:r w:rsidRPr="00CD3820">
        <w:t>has</w:t>
      </w:r>
      <w:proofErr w:type="gramEnd"/>
      <w:r w:rsidRPr="00CD3820">
        <w:t xml:space="preserve"> more than 20 indicators each, climate has only 5 indicators and energy 6.  </w:t>
      </w:r>
    </w:p>
    <w:p w:rsidR="00EA4AD3" w:rsidRPr="00CD3820" w:rsidRDefault="00EA4AD3" w:rsidP="00A96FAF">
      <w:pPr>
        <w:jc w:val="both"/>
      </w:pPr>
    </w:p>
    <w:p w:rsidR="001A16A5" w:rsidRPr="00CD3820" w:rsidRDefault="00F00113" w:rsidP="00A96FAF">
      <w:pPr>
        <w:jc w:val="both"/>
      </w:pPr>
      <w:r w:rsidRPr="00CD3820">
        <w:t xml:space="preserve">Out of 224 indicators, 161 had been coded “green” by the IAEG-SDGs </w:t>
      </w:r>
      <w:r w:rsidR="00FF0C54">
        <w:t xml:space="preserve">group </w:t>
      </w:r>
      <w:r w:rsidRPr="00CD3820">
        <w:t>which means that a consensus had been reach between its members while the remaining 63 “grey” coded indicators are still to be validated by the group.</w:t>
      </w:r>
      <w:r w:rsidR="00077BC7" w:rsidRPr="00CD3820">
        <w:t xml:space="preserve">  The non-validated indicators are found in almost all goals although the</w:t>
      </w:r>
      <w:r w:rsidR="00FF0C54">
        <w:t xml:space="preserve"> </w:t>
      </w:r>
      <w:r w:rsidR="00077BC7" w:rsidRPr="00CD3820">
        <w:t xml:space="preserve">macro goals (climate, justice, forest etc.) seem be less consensual.  The IAEG-SDGs group is currently running a global consultation (mid-December 2015) in order to achieve a consensus as soon as possible.  However, we do not expect </w:t>
      </w:r>
      <w:proofErr w:type="gramStart"/>
      <w:r w:rsidR="00077BC7" w:rsidRPr="00CD3820">
        <w:t>the that</w:t>
      </w:r>
      <w:proofErr w:type="gramEnd"/>
      <w:r w:rsidR="00077BC7" w:rsidRPr="00CD3820">
        <w:t xml:space="preserve"> all indicators would be consensual before the March 2016 meeting when all those indicators would be validated.  Some of those global indicators are clearly not relevant to Mongolia and it is without surprise that most of the not applicable indicators are related to the Ocean goals.  Once we removed those 13 non-applicable indicators, we have 211 indicators</w:t>
      </w:r>
      <w:r w:rsidR="009026BF">
        <w:t xml:space="preserve"> we consider</w:t>
      </w:r>
      <w:r w:rsidR="00077BC7" w:rsidRPr="00CD3820">
        <w:t xml:space="preserve"> relevant to Mongolia.</w:t>
      </w:r>
    </w:p>
    <w:p w:rsidR="00077BC7" w:rsidRPr="00CD3820" w:rsidRDefault="00077BC7" w:rsidP="00A96FAF">
      <w:pPr>
        <w:jc w:val="both"/>
      </w:pPr>
    </w:p>
    <w:p w:rsidR="00077BC7" w:rsidRPr="00CD3820" w:rsidRDefault="00077BC7" w:rsidP="00A96FAF">
      <w:pPr>
        <w:jc w:val="both"/>
      </w:pPr>
      <w:proofErr w:type="gramStart"/>
      <w:r w:rsidRPr="00CD3820">
        <w:t>A close examination of those 211 indicators clearly show</w:t>
      </w:r>
      <w:proofErr w:type="gramEnd"/>
      <w:r w:rsidRPr="00CD3820">
        <w:t xml:space="preserve"> that in practice many indicators have to be </w:t>
      </w:r>
      <w:r w:rsidR="00387779">
        <w:t xml:space="preserve">split into sub-indicators.  </w:t>
      </w:r>
      <w:proofErr w:type="gramStart"/>
      <w:r w:rsidR="00387779">
        <w:t xml:space="preserve">For </w:t>
      </w:r>
      <w:r w:rsidRPr="00CD3820">
        <w:t>example, indicator 9.1.2</w:t>
      </w:r>
      <w:r w:rsidR="00E815BC" w:rsidRPr="00CD3820">
        <w:t xml:space="preserve"> </w:t>
      </w:r>
      <w:r w:rsidR="00E815BC" w:rsidRPr="00CD3820">
        <w:lastRenderedPageBreak/>
        <w:t>concerning “</w:t>
      </w:r>
      <w:r w:rsidRPr="00CD3820">
        <w:t>Passenger and freight volumes (by air, road and rail)</w:t>
      </w:r>
      <w:r w:rsidR="00E815BC" w:rsidRPr="00CD3820">
        <w:t>”</w:t>
      </w:r>
      <w:r w:rsidRPr="00CD3820">
        <w:t xml:space="preserve"> </w:t>
      </w:r>
      <w:r w:rsidR="00E815BC" w:rsidRPr="00CD3820">
        <w:t>has be split into six different indicators: passenger by air, passenger by road and passenger by rail, plus freight by respectively air, road and rail.</w:t>
      </w:r>
      <w:proofErr w:type="gramEnd"/>
      <w:r w:rsidR="00E815BC" w:rsidRPr="00CD3820">
        <w:t xml:space="preserve">  Once </w:t>
      </w:r>
      <w:r w:rsidR="009026BF">
        <w:t>that e</w:t>
      </w:r>
      <w:r w:rsidR="00387779">
        <w:t>xercise done for each indicator</w:t>
      </w:r>
      <w:r w:rsidR="00E815BC" w:rsidRPr="00CD3820">
        <w:t>, the total number o</w:t>
      </w:r>
      <w:r w:rsidR="009026BF">
        <w:t>f indicators to be calculated becomes</w:t>
      </w:r>
      <w:r w:rsidR="00E815BC" w:rsidRPr="00CD3820">
        <w:t xml:space="preserve"> 257.</w:t>
      </w:r>
    </w:p>
    <w:p w:rsidR="00A96FAF" w:rsidRPr="00CD3820" w:rsidRDefault="00A96FAF" w:rsidP="00A96FAF">
      <w:pPr>
        <w:jc w:val="both"/>
      </w:pPr>
    </w:p>
    <w:p w:rsidR="00CD3820" w:rsidRPr="00CD3820" w:rsidRDefault="00CD3820" w:rsidP="00A96FAF">
      <w:pPr>
        <w:jc w:val="both"/>
      </w:pPr>
    </w:p>
    <w:p w:rsidR="00257DBB" w:rsidRPr="00CD3820" w:rsidRDefault="00810077" w:rsidP="00A92BA4">
      <w:pPr>
        <w:jc w:val="both"/>
        <w:rPr>
          <w:b/>
        </w:rPr>
      </w:pPr>
      <w:r w:rsidRPr="00CD3820">
        <w:rPr>
          <w:b/>
        </w:rPr>
        <w:t>Table 2</w:t>
      </w:r>
      <w:r w:rsidR="006F1477" w:rsidRPr="00CD3820">
        <w:rPr>
          <w:b/>
        </w:rPr>
        <w:t xml:space="preserve">: Number of Global and Mongolian SDG Indicators, by Goal </w:t>
      </w:r>
    </w:p>
    <w:tbl>
      <w:tblPr>
        <w:tblW w:w="8635" w:type="dxa"/>
        <w:tblInd w:w="113" w:type="dxa"/>
        <w:tblLook w:val="04A0"/>
      </w:tblPr>
      <w:tblGrid>
        <w:gridCol w:w="675"/>
        <w:gridCol w:w="1574"/>
        <w:gridCol w:w="862"/>
        <w:gridCol w:w="778"/>
        <w:gridCol w:w="766"/>
        <w:gridCol w:w="674"/>
        <w:gridCol w:w="1170"/>
        <w:gridCol w:w="1104"/>
        <w:gridCol w:w="1178"/>
      </w:tblGrid>
      <w:tr w:rsidR="002C344B" w:rsidRPr="00CD3820" w:rsidTr="002C344B">
        <w:trPr>
          <w:trHeight w:val="290"/>
        </w:trPr>
        <w:tc>
          <w:tcPr>
            <w:tcW w:w="6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477" w:rsidRPr="00CD3820" w:rsidRDefault="002C344B">
            <w:pPr>
              <w:jc w:val="center"/>
              <w:rPr>
                <w:rFonts w:ascii="Calibri" w:hAnsi="Calibri"/>
                <w:sz w:val="22"/>
                <w:szCs w:val="22"/>
              </w:rPr>
            </w:pPr>
            <w:r w:rsidRPr="00CD3820">
              <w:rPr>
                <w:rFonts w:ascii="Calibri" w:hAnsi="Calibri"/>
                <w:sz w:val="22"/>
                <w:szCs w:val="22"/>
              </w:rPr>
              <w:t>Goal C</w:t>
            </w:r>
            <w:r w:rsidR="006F1477" w:rsidRPr="00CD3820">
              <w:rPr>
                <w:rFonts w:ascii="Calibri" w:hAnsi="Calibri"/>
                <w:sz w:val="22"/>
                <w:szCs w:val="22"/>
              </w:rPr>
              <w:t>ode</w:t>
            </w:r>
          </w:p>
        </w:tc>
        <w:tc>
          <w:tcPr>
            <w:tcW w:w="15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477" w:rsidRPr="00CD3820" w:rsidRDefault="002C344B">
            <w:pPr>
              <w:jc w:val="center"/>
              <w:rPr>
                <w:rFonts w:ascii="Calibri" w:hAnsi="Calibri"/>
                <w:sz w:val="22"/>
                <w:szCs w:val="22"/>
              </w:rPr>
            </w:pPr>
            <w:r w:rsidRPr="00CD3820">
              <w:rPr>
                <w:rFonts w:ascii="Calibri" w:hAnsi="Calibri"/>
                <w:sz w:val="22"/>
                <w:szCs w:val="22"/>
              </w:rPr>
              <w:t>Goal N</w:t>
            </w:r>
            <w:r w:rsidR="006F1477" w:rsidRPr="00CD3820">
              <w:rPr>
                <w:rFonts w:ascii="Calibri" w:hAnsi="Calibri"/>
                <w:sz w:val="22"/>
                <w:szCs w:val="22"/>
              </w:rPr>
              <w:t>ame</w:t>
            </w:r>
          </w:p>
        </w:tc>
        <w:tc>
          <w:tcPr>
            <w:tcW w:w="3080" w:type="dxa"/>
            <w:gridSpan w:val="4"/>
            <w:tcBorders>
              <w:top w:val="single" w:sz="4" w:space="0" w:color="auto"/>
              <w:left w:val="nil"/>
              <w:bottom w:val="single" w:sz="4" w:space="0" w:color="auto"/>
              <w:right w:val="single" w:sz="4" w:space="0" w:color="auto"/>
            </w:tcBorders>
            <w:shd w:val="clear" w:color="auto" w:fill="auto"/>
            <w:noWrap/>
            <w:vAlign w:val="bottom"/>
            <w:hideMark/>
          </w:tcPr>
          <w:p w:rsidR="006F1477" w:rsidRPr="00CD3820" w:rsidRDefault="002C344B">
            <w:pPr>
              <w:jc w:val="center"/>
              <w:rPr>
                <w:rFonts w:ascii="Calibri" w:hAnsi="Calibri"/>
                <w:sz w:val="22"/>
                <w:szCs w:val="22"/>
              </w:rPr>
            </w:pPr>
            <w:r w:rsidRPr="00CD3820">
              <w:rPr>
                <w:rFonts w:ascii="Calibri" w:hAnsi="Calibri"/>
                <w:sz w:val="22"/>
                <w:szCs w:val="22"/>
              </w:rPr>
              <w:t>Number of Global SDGs I</w:t>
            </w:r>
            <w:r w:rsidR="006F1477" w:rsidRPr="00CD3820">
              <w:rPr>
                <w:rFonts w:ascii="Calibri" w:hAnsi="Calibri"/>
                <w:sz w:val="22"/>
                <w:szCs w:val="22"/>
              </w:rPr>
              <w:t>ndicators</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477" w:rsidRPr="00CD3820" w:rsidRDefault="002C344B">
            <w:pPr>
              <w:jc w:val="center"/>
              <w:rPr>
                <w:rFonts w:ascii="Calibri" w:hAnsi="Calibri"/>
                <w:sz w:val="22"/>
                <w:szCs w:val="22"/>
              </w:rPr>
            </w:pPr>
            <w:r w:rsidRPr="00CD3820">
              <w:rPr>
                <w:rFonts w:ascii="Calibri" w:hAnsi="Calibri"/>
                <w:sz w:val="22"/>
                <w:szCs w:val="22"/>
              </w:rPr>
              <w:t>Not Applicable to Mongolia</w:t>
            </w:r>
          </w:p>
        </w:tc>
        <w:tc>
          <w:tcPr>
            <w:tcW w:w="11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477" w:rsidRPr="00CD3820" w:rsidRDefault="002C344B">
            <w:pPr>
              <w:jc w:val="center"/>
              <w:rPr>
                <w:rFonts w:ascii="Calibri" w:hAnsi="Calibri"/>
                <w:sz w:val="22"/>
                <w:szCs w:val="22"/>
              </w:rPr>
            </w:pPr>
            <w:r w:rsidRPr="00CD3820">
              <w:rPr>
                <w:rFonts w:ascii="Calibri" w:hAnsi="Calibri"/>
                <w:sz w:val="22"/>
                <w:szCs w:val="22"/>
              </w:rPr>
              <w:t>Number of</w:t>
            </w:r>
            <w:r w:rsidR="006F1477" w:rsidRPr="00CD3820">
              <w:rPr>
                <w:rFonts w:ascii="Calibri" w:hAnsi="Calibri"/>
                <w:sz w:val="22"/>
                <w:szCs w:val="22"/>
              </w:rPr>
              <w:t xml:space="preserve"> G</w:t>
            </w:r>
            <w:r w:rsidRPr="00CD3820">
              <w:rPr>
                <w:rFonts w:ascii="Calibri" w:hAnsi="Calibri"/>
                <w:sz w:val="22"/>
                <w:szCs w:val="22"/>
              </w:rPr>
              <w:t xml:space="preserve">lobal </w:t>
            </w:r>
            <w:r w:rsidR="006F1477" w:rsidRPr="00CD3820">
              <w:rPr>
                <w:rFonts w:ascii="Calibri" w:hAnsi="Calibri"/>
                <w:sz w:val="22"/>
                <w:szCs w:val="22"/>
              </w:rPr>
              <w:t xml:space="preserve">SDG </w:t>
            </w:r>
            <w:r w:rsidRPr="00CD3820">
              <w:rPr>
                <w:rFonts w:ascii="Calibri" w:hAnsi="Calibri"/>
                <w:sz w:val="22"/>
                <w:szCs w:val="22"/>
              </w:rPr>
              <w:t>Indicators A</w:t>
            </w:r>
            <w:r w:rsidR="006F1477" w:rsidRPr="00CD3820">
              <w:rPr>
                <w:rFonts w:ascii="Calibri" w:hAnsi="Calibri"/>
                <w:sz w:val="22"/>
                <w:szCs w:val="22"/>
              </w:rPr>
              <w:t>ssessed</w:t>
            </w:r>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477" w:rsidRPr="00CD3820" w:rsidRDefault="002C344B">
            <w:pPr>
              <w:jc w:val="center"/>
              <w:rPr>
                <w:rFonts w:ascii="Calibri" w:hAnsi="Calibri"/>
                <w:sz w:val="22"/>
                <w:szCs w:val="22"/>
              </w:rPr>
            </w:pPr>
            <w:r w:rsidRPr="00CD3820">
              <w:rPr>
                <w:rFonts w:ascii="Calibri" w:hAnsi="Calibri"/>
                <w:sz w:val="22"/>
                <w:szCs w:val="22"/>
              </w:rPr>
              <w:t>Number of Mongolian SDG I</w:t>
            </w:r>
            <w:r w:rsidR="006F1477" w:rsidRPr="00CD3820">
              <w:rPr>
                <w:rFonts w:ascii="Calibri" w:hAnsi="Calibri"/>
                <w:sz w:val="22"/>
                <w:szCs w:val="22"/>
              </w:rPr>
              <w:t xml:space="preserve">ndicators </w:t>
            </w:r>
          </w:p>
          <w:p w:rsidR="002C344B" w:rsidRPr="00CD3820" w:rsidRDefault="002C344B">
            <w:pPr>
              <w:jc w:val="center"/>
              <w:rPr>
                <w:rFonts w:ascii="Calibri" w:hAnsi="Calibri"/>
                <w:sz w:val="22"/>
                <w:szCs w:val="22"/>
              </w:rPr>
            </w:pPr>
            <w:r w:rsidRPr="00CD3820">
              <w:rPr>
                <w:rFonts w:ascii="Calibri" w:hAnsi="Calibri"/>
                <w:sz w:val="22"/>
                <w:szCs w:val="22"/>
              </w:rPr>
              <w:t>Proposed</w:t>
            </w:r>
          </w:p>
        </w:tc>
      </w:tr>
      <w:tr w:rsidR="002C344B" w:rsidRPr="00CD3820" w:rsidTr="002C344B">
        <w:trPr>
          <w:trHeight w:val="290"/>
        </w:trPr>
        <w:tc>
          <w:tcPr>
            <w:tcW w:w="651" w:type="dxa"/>
            <w:vMerge/>
            <w:tcBorders>
              <w:top w:val="single" w:sz="4" w:space="0" w:color="auto"/>
              <w:left w:val="single" w:sz="4" w:space="0" w:color="auto"/>
              <w:bottom w:val="single" w:sz="4" w:space="0" w:color="000000"/>
              <w:right w:val="single" w:sz="4" w:space="0" w:color="auto"/>
            </w:tcBorders>
            <w:vAlign w:val="center"/>
            <w:hideMark/>
          </w:tcPr>
          <w:p w:rsidR="006F1477" w:rsidRPr="00CD3820" w:rsidRDefault="006F1477">
            <w:pPr>
              <w:rPr>
                <w:rFonts w:ascii="Calibri" w:hAnsi="Calibri"/>
                <w:sz w:val="22"/>
                <w:szCs w:val="22"/>
              </w:rPr>
            </w:pPr>
          </w:p>
        </w:tc>
        <w:tc>
          <w:tcPr>
            <w:tcW w:w="1574" w:type="dxa"/>
            <w:vMerge/>
            <w:tcBorders>
              <w:top w:val="single" w:sz="4" w:space="0" w:color="auto"/>
              <w:left w:val="single" w:sz="4" w:space="0" w:color="auto"/>
              <w:bottom w:val="single" w:sz="4" w:space="0" w:color="000000"/>
              <w:right w:val="single" w:sz="4" w:space="0" w:color="auto"/>
            </w:tcBorders>
            <w:vAlign w:val="center"/>
            <w:hideMark/>
          </w:tcPr>
          <w:p w:rsidR="006F1477" w:rsidRPr="00CD3820" w:rsidRDefault="006F1477">
            <w:pPr>
              <w:rPr>
                <w:rFonts w:ascii="Calibri" w:hAnsi="Calibri"/>
                <w:sz w:val="22"/>
                <w:szCs w:val="22"/>
              </w:rPr>
            </w:pP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6F1477" w:rsidRPr="00CD3820" w:rsidRDefault="002C344B">
            <w:pPr>
              <w:jc w:val="center"/>
              <w:rPr>
                <w:rFonts w:ascii="Calibri" w:hAnsi="Calibri"/>
                <w:sz w:val="22"/>
                <w:szCs w:val="22"/>
              </w:rPr>
            </w:pPr>
            <w:r w:rsidRPr="00CD3820">
              <w:rPr>
                <w:rFonts w:ascii="Calibri" w:hAnsi="Calibri"/>
                <w:sz w:val="22"/>
                <w:szCs w:val="22"/>
              </w:rPr>
              <w:t>Total (</w:t>
            </w:r>
            <w:r w:rsidR="006F1477" w:rsidRPr="00CD3820">
              <w:rPr>
                <w:rFonts w:ascii="Calibri" w:hAnsi="Calibri"/>
                <w:sz w:val="22"/>
                <w:szCs w:val="22"/>
              </w:rPr>
              <w:t>March 2015)</w:t>
            </w:r>
          </w:p>
        </w:tc>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rsidR="006F1477" w:rsidRPr="00CD3820" w:rsidRDefault="002C344B">
            <w:pPr>
              <w:jc w:val="center"/>
              <w:rPr>
                <w:rFonts w:ascii="Calibri" w:hAnsi="Calibri"/>
                <w:sz w:val="22"/>
                <w:szCs w:val="22"/>
              </w:rPr>
            </w:pPr>
            <w:r w:rsidRPr="00CD3820">
              <w:rPr>
                <w:rFonts w:ascii="Calibri" w:hAnsi="Calibri"/>
                <w:sz w:val="22"/>
                <w:szCs w:val="22"/>
              </w:rPr>
              <w:t>Total (</w:t>
            </w:r>
            <w:r w:rsidR="006F1477" w:rsidRPr="00CD3820">
              <w:rPr>
                <w:rFonts w:ascii="Calibri" w:hAnsi="Calibri"/>
                <w:sz w:val="22"/>
                <w:szCs w:val="22"/>
              </w:rPr>
              <w:t>Nov. 2015)</w:t>
            </w:r>
          </w:p>
        </w:tc>
        <w:tc>
          <w:tcPr>
            <w:tcW w:w="14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Out of which:</w:t>
            </w: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6F1477" w:rsidRPr="00CD3820" w:rsidRDefault="006F1477">
            <w:pPr>
              <w:rPr>
                <w:rFonts w:ascii="Calibri" w:hAnsi="Calibri"/>
                <w:sz w:val="22"/>
                <w:szCs w:val="22"/>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rsidR="006F1477" w:rsidRPr="00CD3820" w:rsidRDefault="006F1477">
            <w:pPr>
              <w:rPr>
                <w:rFonts w:ascii="Calibri" w:hAnsi="Calibri"/>
                <w:sz w:val="22"/>
                <w:szCs w:val="22"/>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6F1477" w:rsidRPr="00CD3820" w:rsidRDefault="006F1477">
            <w:pPr>
              <w:rPr>
                <w:rFonts w:ascii="Calibri" w:hAnsi="Calibri"/>
                <w:sz w:val="22"/>
                <w:szCs w:val="22"/>
              </w:rPr>
            </w:pPr>
          </w:p>
        </w:tc>
      </w:tr>
      <w:tr w:rsidR="002C344B" w:rsidRPr="00CD3820" w:rsidTr="002C344B">
        <w:trPr>
          <w:trHeight w:val="305"/>
        </w:trPr>
        <w:tc>
          <w:tcPr>
            <w:tcW w:w="651" w:type="dxa"/>
            <w:vMerge/>
            <w:tcBorders>
              <w:top w:val="single" w:sz="4" w:space="0" w:color="auto"/>
              <w:left w:val="single" w:sz="4" w:space="0" w:color="auto"/>
              <w:bottom w:val="single" w:sz="4" w:space="0" w:color="000000"/>
              <w:right w:val="single" w:sz="4" w:space="0" w:color="auto"/>
            </w:tcBorders>
            <w:vAlign w:val="center"/>
            <w:hideMark/>
          </w:tcPr>
          <w:p w:rsidR="006F1477" w:rsidRPr="00CD3820" w:rsidRDefault="006F1477">
            <w:pPr>
              <w:rPr>
                <w:rFonts w:ascii="Calibri" w:hAnsi="Calibri"/>
                <w:sz w:val="22"/>
                <w:szCs w:val="22"/>
              </w:rPr>
            </w:pPr>
          </w:p>
        </w:tc>
        <w:tc>
          <w:tcPr>
            <w:tcW w:w="1574" w:type="dxa"/>
            <w:vMerge/>
            <w:tcBorders>
              <w:top w:val="single" w:sz="4" w:space="0" w:color="auto"/>
              <w:left w:val="single" w:sz="4" w:space="0" w:color="auto"/>
              <w:bottom w:val="single" w:sz="4" w:space="0" w:color="000000"/>
              <w:right w:val="single" w:sz="4" w:space="0" w:color="auto"/>
            </w:tcBorders>
            <w:vAlign w:val="center"/>
            <w:hideMark/>
          </w:tcPr>
          <w:p w:rsidR="006F1477" w:rsidRPr="00CD3820" w:rsidRDefault="006F1477">
            <w:pPr>
              <w:rPr>
                <w:rFonts w:ascii="Calibri" w:hAnsi="Calibri"/>
                <w:sz w:val="22"/>
                <w:szCs w:val="22"/>
              </w:rPr>
            </w:pPr>
          </w:p>
        </w:tc>
        <w:tc>
          <w:tcPr>
            <w:tcW w:w="862" w:type="dxa"/>
            <w:vMerge/>
            <w:tcBorders>
              <w:top w:val="nil"/>
              <w:left w:val="single" w:sz="4" w:space="0" w:color="auto"/>
              <w:bottom w:val="single" w:sz="4" w:space="0" w:color="000000"/>
              <w:right w:val="single" w:sz="4" w:space="0" w:color="auto"/>
            </w:tcBorders>
            <w:vAlign w:val="center"/>
            <w:hideMark/>
          </w:tcPr>
          <w:p w:rsidR="006F1477" w:rsidRPr="00CD3820" w:rsidRDefault="006F1477">
            <w:pPr>
              <w:rPr>
                <w:rFonts w:ascii="Calibri" w:hAnsi="Calibri"/>
                <w:sz w:val="22"/>
                <w:szCs w:val="22"/>
              </w:rPr>
            </w:pPr>
          </w:p>
        </w:tc>
        <w:tc>
          <w:tcPr>
            <w:tcW w:w="778" w:type="dxa"/>
            <w:vMerge/>
            <w:tcBorders>
              <w:top w:val="nil"/>
              <w:left w:val="single" w:sz="4" w:space="0" w:color="auto"/>
              <w:bottom w:val="single" w:sz="4" w:space="0" w:color="000000"/>
              <w:right w:val="single" w:sz="4" w:space="0" w:color="auto"/>
            </w:tcBorders>
            <w:vAlign w:val="center"/>
            <w:hideMark/>
          </w:tcPr>
          <w:p w:rsidR="006F1477" w:rsidRPr="00CD3820" w:rsidRDefault="006F1477">
            <w:pPr>
              <w:rPr>
                <w:rFonts w:ascii="Calibri" w:hAnsi="Calibri"/>
                <w:sz w:val="22"/>
                <w:szCs w:val="22"/>
              </w:rPr>
            </w:pPr>
          </w:p>
        </w:tc>
        <w:tc>
          <w:tcPr>
            <w:tcW w:w="766"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Calibri" w:hAnsi="Calibri"/>
                <w:sz w:val="22"/>
                <w:szCs w:val="22"/>
              </w:rPr>
            </w:pPr>
            <w:r w:rsidRPr="00CD3820">
              <w:rPr>
                <w:rFonts w:ascii="Calibri" w:hAnsi="Calibri"/>
                <w:sz w:val="22"/>
                <w:szCs w:val="22"/>
              </w:rPr>
              <w:t>Green</w:t>
            </w:r>
          </w:p>
        </w:tc>
        <w:tc>
          <w:tcPr>
            <w:tcW w:w="674"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Calibri" w:hAnsi="Calibri"/>
                <w:sz w:val="22"/>
                <w:szCs w:val="22"/>
              </w:rPr>
            </w:pPr>
            <w:r w:rsidRPr="00CD3820">
              <w:rPr>
                <w:rFonts w:ascii="Calibri" w:hAnsi="Calibri"/>
                <w:sz w:val="22"/>
                <w:szCs w:val="22"/>
              </w:rPr>
              <w:t>Grey</w:t>
            </w: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6F1477" w:rsidRPr="00CD3820" w:rsidRDefault="006F1477">
            <w:pPr>
              <w:rPr>
                <w:rFonts w:ascii="Calibri" w:hAnsi="Calibri"/>
                <w:sz w:val="22"/>
                <w:szCs w:val="22"/>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rsidR="006F1477" w:rsidRPr="00CD3820" w:rsidRDefault="006F1477">
            <w:pPr>
              <w:rPr>
                <w:rFonts w:ascii="Calibri" w:hAnsi="Calibri"/>
                <w:sz w:val="22"/>
                <w:szCs w:val="22"/>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6F1477" w:rsidRPr="00CD3820" w:rsidRDefault="006F1477">
            <w:pPr>
              <w:rPr>
                <w:rFonts w:ascii="Calibri" w:hAnsi="Calibri"/>
                <w:sz w:val="22"/>
                <w:szCs w:val="22"/>
              </w:rPr>
            </w:pPr>
          </w:p>
        </w:tc>
      </w:tr>
      <w:tr w:rsidR="002C344B" w:rsidRPr="00CD3820" w:rsidTr="002C344B">
        <w:trPr>
          <w:trHeight w:val="288"/>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w:t>
            </w:r>
          </w:p>
        </w:tc>
        <w:tc>
          <w:tcPr>
            <w:tcW w:w="15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rPr>
                <w:rFonts w:ascii="Calibri" w:hAnsi="Calibri"/>
                <w:sz w:val="22"/>
                <w:szCs w:val="22"/>
              </w:rPr>
            </w:pPr>
            <w:r w:rsidRPr="00CD3820">
              <w:rPr>
                <w:rFonts w:ascii="Calibri" w:hAnsi="Calibri"/>
                <w:sz w:val="22"/>
                <w:szCs w:val="22"/>
              </w:rPr>
              <w:t>Poverty</w:t>
            </w:r>
          </w:p>
        </w:tc>
        <w:tc>
          <w:tcPr>
            <w:tcW w:w="862"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10</w:t>
            </w:r>
          </w:p>
        </w:tc>
        <w:tc>
          <w:tcPr>
            <w:tcW w:w="778"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9</w:t>
            </w:r>
          </w:p>
        </w:tc>
        <w:tc>
          <w:tcPr>
            <w:tcW w:w="76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6</w:t>
            </w:r>
          </w:p>
        </w:tc>
        <w:tc>
          <w:tcPr>
            <w:tcW w:w="6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3</w:t>
            </w:r>
          </w:p>
        </w:tc>
        <w:tc>
          <w:tcPr>
            <w:tcW w:w="1170"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Arial" w:hAnsi="Arial" w:cs="Arial"/>
                <w:sz w:val="22"/>
                <w:szCs w:val="22"/>
              </w:rPr>
            </w:pPr>
            <w:r w:rsidRPr="00CD3820">
              <w:rPr>
                <w:rFonts w:ascii="Arial" w:hAnsi="Arial" w:cs="Arial"/>
                <w:sz w:val="22"/>
                <w:szCs w:val="22"/>
              </w:rPr>
              <w:t>0</w:t>
            </w:r>
          </w:p>
        </w:tc>
        <w:tc>
          <w:tcPr>
            <w:tcW w:w="110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9</w:t>
            </w:r>
          </w:p>
        </w:tc>
        <w:tc>
          <w:tcPr>
            <w:tcW w:w="105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25</w:t>
            </w:r>
          </w:p>
        </w:tc>
      </w:tr>
      <w:tr w:rsidR="002C344B" w:rsidRPr="00CD3820" w:rsidTr="002C344B">
        <w:trPr>
          <w:trHeight w:val="288"/>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2</w:t>
            </w:r>
          </w:p>
        </w:tc>
        <w:tc>
          <w:tcPr>
            <w:tcW w:w="15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rPr>
                <w:rFonts w:ascii="Calibri" w:hAnsi="Calibri"/>
                <w:sz w:val="22"/>
                <w:szCs w:val="22"/>
              </w:rPr>
            </w:pPr>
            <w:r w:rsidRPr="00CD3820">
              <w:rPr>
                <w:rFonts w:ascii="Calibri" w:hAnsi="Calibri"/>
                <w:sz w:val="22"/>
                <w:szCs w:val="22"/>
              </w:rPr>
              <w:t>Hunger</w:t>
            </w:r>
          </w:p>
        </w:tc>
        <w:tc>
          <w:tcPr>
            <w:tcW w:w="862"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12</w:t>
            </w:r>
          </w:p>
        </w:tc>
        <w:tc>
          <w:tcPr>
            <w:tcW w:w="778"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15</w:t>
            </w:r>
          </w:p>
        </w:tc>
        <w:tc>
          <w:tcPr>
            <w:tcW w:w="76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10</w:t>
            </w:r>
          </w:p>
        </w:tc>
        <w:tc>
          <w:tcPr>
            <w:tcW w:w="6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5</w:t>
            </w:r>
          </w:p>
        </w:tc>
        <w:tc>
          <w:tcPr>
            <w:tcW w:w="1170"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Arial" w:hAnsi="Arial" w:cs="Arial"/>
                <w:sz w:val="22"/>
                <w:szCs w:val="22"/>
              </w:rPr>
            </w:pPr>
            <w:r w:rsidRPr="00CD3820">
              <w:rPr>
                <w:rFonts w:ascii="Arial" w:hAnsi="Arial" w:cs="Arial"/>
                <w:sz w:val="22"/>
                <w:szCs w:val="22"/>
              </w:rPr>
              <w:t>0</w:t>
            </w:r>
          </w:p>
        </w:tc>
        <w:tc>
          <w:tcPr>
            <w:tcW w:w="110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15</w:t>
            </w:r>
          </w:p>
        </w:tc>
        <w:tc>
          <w:tcPr>
            <w:tcW w:w="105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15</w:t>
            </w:r>
          </w:p>
        </w:tc>
      </w:tr>
      <w:tr w:rsidR="002C344B" w:rsidRPr="00CD3820" w:rsidTr="002C344B">
        <w:trPr>
          <w:trHeight w:val="288"/>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3</w:t>
            </w:r>
          </w:p>
        </w:tc>
        <w:tc>
          <w:tcPr>
            <w:tcW w:w="15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rPr>
                <w:rFonts w:ascii="Calibri" w:hAnsi="Calibri"/>
                <w:sz w:val="22"/>
                <w:szCs w:val="22"/>
              </w:rPr>
            </w:pPr>
            <w:r w:rsidRPr="00CD3820">
              <w:rPr>
                <w:rFonts w:ascii="Calibri" w:hAnsi="Calibri"/>
                <w:sz w:val="22"/>
                <w:szCs w:val="22"/>
              </w:rPr>
              <w:t>Health</w:t>
            </w:r>
          </w:p>
        </w:tc>
        <w:tc>
          <w:tcPr>
            <w:tcW w:w="862"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22</w:t>
            </w:r>
          </w:p>
        </w:tc>
        <w:tc>
          <w:tcPr>
            <w:tcW w:w="778"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24</w:t>
            </w:r>
          </w:p>
        </w:tc>
        <w:tc>
          <w:tcPr>
            <w:tcW w:w="76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21</w:t>
            </w:r>
          </w:p>
        </w:tc>
        <w:tc>
          <w:tcPr>
            <w:tcW w:w="6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3</w:t>
            </w:r>
          </w:p>
        </w:tc>
        <w:tc>
          <w:tcPr>
            <w:tcW w:w="1170"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Arial" w:hAnsi="Arial" w:cs="Arial"/>
                <w:sz w:val="22"/>
                <w:szCs w:val="22"/>
              </w:rPr>
            </w:pPr>
            <w:r w:rsidRPr="00CD3820">
              <w:rPr>
                <w:rFonts w:ascii="Arial" w:hAnsi="Arial" w:cs="Arial"/>
                <w:sz w:val="22"/>
                <w:szCs w:val="22"/>
              </w:rPr>
              <w:t>2</w:t>
            </w:r>
          </w:p>
        </w:tc>
        <w:tc>
          <w:tcPr>
            <w:tcW w:w="110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22</w:t>
            </w:r>
          </w:p>
        </w:tc>
        <w:tc>
          <w:tcPr>
            <w:tcW w:w="105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26</w:t>
            </w:r>
          </w:p>
        </w:tc>
      </w:tr>
      <w:tr w:rsidR="002C344B" w:rsidRPr="00CD3820" w:rsidTr="002C344B">
        <w:trPr>
          <w:trHeight w:val="288"/>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4</w:t>
            </w:r>
          </w:p>
        </w:tc>
        <w:tc>
          <w:tcPr>
            <w:tcW w:w="15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rPr>
                <w:rFonts w:ascii="Calibri" w:hAnsi="Calibri"/>
                <w:sz w:val="22"/>
                <w:szCs w:val="22"/>
              </w:rPr>
            </w:pPr>
            <w:r w:rsidRPr="00CD3820">
              <w:rPr>
                <w:rFonts w:ascii="Calibri" w:hAnsi="Calibri"/>
                <w:sz w:val="22"/>
                <w:szCs w:val="22"/>
              </w:rPr>
              <w:t xml:space="preserve">Education </w:t>
            </w:r>
          </w:p>
        </w:tc>
        <w:tc>
          <w:tcPr>
            <w:tcW w:w="862"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15</w:t>
            </w:r>
          </w:p>
        </w:tc>
        <w:tc>
          <w:tcPr>
            <w:tcW w:w="778"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11</w:t>
            </w:r>
          </w:p>
        </w:tc>
        <w:tc>
          <w:tcPr>
            <w:tcW w:w="76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10</w:t>
            </w:r>
          </w:p>
        </w:tc>
        <w:tc>
          <w:tcPr>
            <w:tcW w:w="6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w:t>
            </w:r>
          </w:p>
        </w:tc>
        <w:tc>
          <w:tcPr>
            <w:tcW w:w="1170"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Arial" w:hAnsi="Arial" w:cs="Arial"/>
                <w:sz w:val="22"/>
                <w:szCs w:val="22"/>
              </w:rPr>
            </w:pPr>
            <w:r w:rsidRPr="00CD3820">
              <w:rPr>
                <w:rFonts w:ascii="Arial" w:hAnsi="Arial" w:cs="Arial"/>
                <w:sz w:val="22"/>
                <w:szCs w:val="22"/>
              </w:rPr>
              <w:t>0</w:t>
            </w:r>
          </w:p>
        </w:tc>
        <w:tc>
          <w:tcPr>
            <w:tcW w:w="110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11</w:t>
            </w:r>
          </w:p>
        </w:tc>
        <w:tc>
          <w:tcPr>
            <w:tcW w:w="105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15</w:t>
            </w:r>
          </w:p>
        </w:tc>
      </w:tr>
      <w:tr w:rsidR="002C344B" w:rsidRPr="00CD3820" w:rsidTr="002C344B">
        <w:trPr>
          <w:trHeight w:val="288"/>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5</w:t>
            </w:r>
          </w:p>
        </w:tc>
        <w:tc>
          <w:tcPr>
            <w:tcW w:w="15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rPr>
                <w:rFonts w:ascii="Calibri" w:hAnsi="Calibri"/>
                <w:sz w:val="22"/>
                <w:szCs w:val="22"/>
              </w:rPr>
            </w:pPr>
            <w:r w:rsidRPr="00CD3820">
              <w:rPr>
                <w:rFonts w:ascii="Calibri" w:hAnsi="Calibri"/>
                <w:sz w:val="22"/>
                <w:szCs w:val="22"/>
              </w:rPr>
              <w:t>Gender</w:t>
            </w:r>
          </w:p>
        </w:tc>
        <w:tc>
          <w:tcPr>
            <w:tcW w:w="862"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18</w:t>
            </w:r>
          </w:p>
        </w:tc>
        <w:tc>
          <w:tcPr>
            <w:tcW w:w="778"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14</w:t>
            </w:r>
          </w:p>
        </w:tc>
        <w:tc>
          <w:tcPr>
            <w:tcW w:w="76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14</w:t>
            </w:r>
          </w:p>
        </w:tc>
        <w:tc>
          <w:tcPr>
            <w:tcW w:w="6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Arial" w:hAnsi="Arial" w:cs="Arial"/>
                <w:sz w:val="22"/>
                <w:szCs w:val="22"/>
              </w:rPr>
            </w:pPr>
            <w:r w:rsidRPr="00CD3820">
              <w:rPr>
                <w:rFonts w:ascii="Arial" w:hAnsi="Arial" w:cs="Arial"/>
                <w:sz w:val="22"/>
                <w:szCs w:val="22"/>
              </w:rPr>
              <w:t>1</w:t>
            </w:r>
          </w:p>
        </w:tc>
        <w:tc>
          <w:tcPr>
            <w:tcW w:w="110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13</w:t>
            </w:r>
          </w:p>
        </w:tc>
        <w:tc>
          <w:tcPr>
            <w:tcW w:w="105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17</w:t>
            </w:r>
          </w:p>
        </w:tc>
      </w:tr>
      <w:tr w:rsidR="002C344B" w:rsidRPr="00CD3820" w:rsidTr="002C344B">
        <w:trPr>
          <w:trHeight w:val="288"/>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6</w:t>
            </w:r>
          </w:p>
        </w:tc>
        <w:tc>
          <w:tcPr>
            <w:tcW w:w="15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rPr>
                <w:rFonts w:ascii="Calibri" w:hAnsi="Calibri"/>
                <w:sz w:val="22"/>
                <w:szCs w:val="22"/>
              </w:rPr>
            </w:pPr>
            <w:r w:rsidRPr="00CD3820">
              <w:rPr>
                <w:rFonts w:ascii="Calibri" w:hAnsi="Calibri"/>
                <w:sz w:val="22"/>
                <w:szCs w:val="22"/>
              </w:rPr>
              <w:t>Water</w:t>
            </w:r>
          </w:p>
        </w:tc>
        <w:tc>
          <w:tcPr>
            <w:tcW w:w="862"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10</w:t>
            </w:r>
          </w:p>
        </w:tc>
        <w:tc>
          <w:tcPr>
            <w:tcW w:w="778"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10</w:t>
            </w:r>
          </w:p>
        </w:tc>
        <w:tc>
          <w:tcPr>
            <w:tcW w:w="76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7</w:t>
            </w:r>
          </w:p>
        </w:tc>
        <w:tc>
          <w:tcPr>
            <w:tcW w:w="6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3</w:t>
            </w:r>
          </w:p>
        </w:tc>
        <w:tc>
          <w:tcPr>
            <w:tcW w:w="1170"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Arial" w:hAnsi="Arial" w:cs="Arial"/>
                <w:sz w:val="22"/>
                <w:szCs w:val="22"/>
              </w:rPr>
            </w:pPr>
            <w:r w:rsidRPr="00CD3820">
              <w:rPr>
                <w:rFonts w:ascii="Arial" w:hAnsi="Arial" w:cs="Arial"/>
                <w:sz w:val="22"/>
                <w:szCs w:val="22"/>
              </w:rPr>
              <w:t>0</w:t>
            </w:r>
          </w:p>
        </w:tc>
        <w:tc>
          <w:tcPr>
            <w:tcW w:w="110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10</w:t>
            </w:r>
          </w:p>
        </w:tc>
        <w:tc>
          <w:tcPr>
            <w:tcW w:w="105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11</w:t>
            </w:r>
          </w:p>
        </w:tc>
      </w:tr>
      <w:tr w:rsidR="002C344B" w:rsidRPr="00CD3820" w:rsidTr="002C344B">
        <w:trPr>
          <w:trHeight w:val="288"/>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7</w:t>
            </w:r>
          </w:p>
        </w:tc>
        <w:tc>
          <w:tcPr>
            <w:tcW w:w="15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rPr>
                <w:rFonts w:ascii="Calibri" w:hAnsi="Calibri"/>
                <w:sz w:val="22"/>
                <w:szCs w:val="22"/>
              </w:rPr>
            </w:pPr>
            <w:r w:rsidRPr="00CD3820">
              <w:rPr>
                <w:rFonts w:ascii="Calibri" w:hAnsi="Calibri"/>
                <w:sz w:val="22"/>
                <w:szCs w:val="22"/>
              </w:rPr>
              <w:t>Energy</w:t>
            </w:r>
          </w:p>
        </w:tc>
        <w:tc>
          <w:tcPr>
            <w:tcW w:w="862"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10</w:t>
            </w:r>
          </w:p>
        </w:tc>
        <w:tc>
          <w:tcPr>
            <w:tcW w:w="778"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6</w:t>
            </w:r>
          </w:p>
        </w:tc>
        <w:tc>
          <w:tcPr>
            <w:tcW w:w="76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5</w:t>
            </w:r>
          </w:p>
        </w:tc>
        <w:tc>
          <w:tcPr>
            <w:tcW w:w="6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w:t>
            </w:r>
          </w:p>
        </w:tc>
        <w:tc>
          <w:tcPr>
            <w:tcW w:w="1170"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Arial" w:hAnsi="Arial" w:cs="Arial"/>
                <w:sz w:val="22"/>
                <w:szCs w:val="22"/>
              </w:rPr>
            </w:pPr>
            <w:r w:rsidRPr="00CD3820">
              <w:rPr>
                <w:rFonts w:ascii="Arial" w:hAnsi="Arial" w:cs="Arial"/>
                <w:sz w:val="22"/>
                <w:szCs w:val="22"/>
              </w:rPr>
              <w:t>0</w:t>
            </w:r>
          </w:p>
        </w:tc>
        <w:tc>
          <w:tcPr>
            <w:tcW w:w="110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6</w:t>
            </w:r>
          </w:p>
        </w:tc>
        <w:tc>
          <w:tcPr>
            <w:tcW w:w="105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6</w:t>
            </w:r>
          </w:p>
        </w:tc>
      </w:tr>
      <w:tr w:rsidR="002C344B" w:rsidRPr="00CD3820" w:rsidTr="002C344B">
        <w:trPr>
          <w:trHeight w:val="288"/>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8</w:t>
            </w:r>
          </w:p>
        </w:tc>
        <w:tc>
          <w:tcPr>
            <w:tcW w:w="15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rPr>
                <w:rFonts w:ascii="Calibri" w:hAnsi="Calibri"/>
                <w:sz w:val="22"/>
                <w:szCs w:val="22"/>
              </w:rPr>
            </w:pPr>
            <w:r w:rsidRPr="00CD3820">
              <w:rPr>
                <w:rFonts w:ascii="Calibri" w:hAnsi="Calibri"/>
                <w:sz w:val="22"/>
                <w:szCs w:val="22"/>
              </w:rPr>
              <w:t>Economic</w:t>
            </w:r>
          </w:p>
        </w:tc>
        <w:tc>
          <w:tcPr>
            <w:tcW w:w="862"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22</w:t>
            </w:r>
          </w:p>
        </w:tc>
        <w:tc>
          <w:tcPr>
            <w:tcW w:w="778"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15</w:t>
            </w:r>
          </w:p>
        </w:tc>
        <w:tc>
          <w:tcPr>
            <w:tcW w:w="76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12</w:t>
            </w:r>
          </w:p>
        </w:tc>
        <w:tc>
          <w:tcPr>
            <w:tcW w:w="6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3</w:t>
            </w:r>
          </w:p>
        </w:tc>
        <w:tc>
          <w:tcPr>
            <w:tcW w:w="1170"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Arial" w:hAnsi="Arial" w:cs="Arial"/>
                <w:sz w:val="22"/>
                <w:szCs w:val="22"/>
              </w:rPr>
            </w:pPr>
            <w:r w:rsidRPr="00CD3820">
              <w:rPr>
                <w:rFonts w:ascii="Arial" w:hAnsi="Arial" w:cs="Arial"/>
                <w:sz w:val="22"/>
                <w:szCs w:val="22"/>
              </w:rPr>
              <w:t>0</w:t>
            </w:r>
          </w:p>
        </w:tc>
        <w:tc>
          <w:tcPr>
            <w:tcW w:w="110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15</w:t>
            </w:r>
          </w:p>
        </w:tc>
        <w:tc>
          <w:tcPr>
            <w:tcW w:w="105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15</w:t>
            </w:r>
          </w:p>
        </w:tc>
      </w:tr>
      <w:tr w:rsidR="002C344B" w:rsidRPr="00CD3820" w:rsidTr="002C344B">
        <w:trPr>
          <w:trHeight w:val="288"/>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9</w:t>
            </w:r>
          </w:p>
        </w:tc>
        <w:tc>
          <w:tcPr>
            <w:tcW w:w="15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rPr>
                <w:rFonts w:ascii="Calibri" w:hAnsi="Calibri"/>
                <w:sz w:val="22"/>
                <w:szCs w:val="22"/>
              </w:rPr>
            </w:pPr>
            <w:r w:rsidRPr="00CD3820">
              <w:rPr>
                <w:rFonts w:ascii="Calibri" w:hAnsi="Calibri"/>
                <w:sz w:val="22"/>
                <w:szCs w:val="22"/>
              </w:rPr>
              <w:t>Infrastructure</w:t>
            </w:r>
          </w:p>
        </w:tc>
        <w:tc>
          <w:tcPr>
            <w:tcW w:w="862"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16</w:t>
            </w:r>
          </w:p>
        </w:tc>
        <w:tc>
          <w:tcPr>
            <w:tcW w:w="778"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12</w:t>
            </w:r>
          </w:p>
        </w:tc>
        <w:tc>
          <w:tcPr>
            <w:tcW w:w="76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11</w:t>
            </w:r>
          </w:p>
        </w:tc>
        <w:tc>
          <w:tcPr>
            <w:tcW w:w="6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w:t>
            </w:r>
          </w:p>
        </w:tc>
        <w:tc>
          <w:tcPr>
            <w:tcW w:w="1170"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Arial" w:hAnsi="Arial" w:cs="Arial"/>
                <w:sz w:val="22"/>
                <w:szCs w:val="22"/>
              </w:rPr>
            </w:pPr>
            <w:r w:rsidRPr="00CD3820">
              <w:rPr>
                <w:rFonts w:ascii="Arial" w:hAnsi="Arial" w:cs="Arial"/>
                <w:sz w:val="22"/>
                <w:szCs w:val="22"/>
              </w:rPr>
              <w:t>0</w:t>
            </w:r>
          </w:p>
        </w:tc>
        <w:tc>
          <w:tcPr>
            <w:tcW w:w="110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12</w:t>
            </w:r>
          </w:p>
        </w:tc>
        <w:tc>
          <w:tcPr>
            <w:tcW w:w="105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14</w:t>
            </w:r>
          </w:p>
        </w:tc>
      </w:tr>
      <w:tr w:rsidR="002C344B" w:rsidRPr="00CD3820" w:rsidTr="002C344B">
        <w:trPr>
          <w:trHeight w:val="288"/>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10</w:t>
            </w:r>
          </w:p>
        </w:tc>
        <w:tc>
          <w:tcPr>
            <w:tcW w:w="15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rPr>
                <w:rFonts w:ascii="Calibri" w:hAnsi="Calibri"/>
                <w:sz w:val="22"/>
                <w:szCs w:val="22"/>
              </w:rPr>
            </w:pPr>
            <w:r w:rsidRPr="00CD3820">
              <w:rPr>
                <w:rFonts w:ascii="Calibri" w:hAnsi="Calibri"/>
                <w:sz w:val="22"/>
                <w:szCs w:val="22"/>
              </w:rPr>
              <w:t>Inequality</w:t>
            </w:r>
          </w:p>
        </w:tc>
        <w:tc>
          <w:tcPr>
            <w:tcW w:w="862"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17</w:t>
            </w:r>
          </w:p>
        </w:tc>
        <w:tc>
          <w:tcPr>
            <w:tcW w:w="778"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12</w:t>
            </w:r>
          </w:p>
        </w:tc>
        <w:tc>
          <w:tcPr>
            <w:tcW w:w="76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9</w:t>
            </w:r>
          </w:p>
        </w:tc>
        <w:tc>
          <w:tcPr>
            <w:tcW w:w="6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3</w:t>
            </w:r>
          </w:p>
        </w:tc>
        <w:tc>
          <w:tcPr>
            <w:tcW w:w="1170"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Arial" w:hAnsi="Arial" w:cs="Arial"/>
                <w:sz w:val="22"/>
                <w:szCs w:val="22"/>
              </w:rPr>
            </w:pPr>
            <w:r w:rsidRPr="00CD3820">
              <w:rPr>
                <w:rFonts w:ascii="Arial" w:hAnsi="Arial" w:cs="Arial"/>
                <w:sz w:val="22"/>
                <w:szCs w:val="22"/>
              </w:rPr>
              <w:t>0</w:t>
            </w:r>
          </w:p>
        </w:tc>
        <w:tc>
          <w:tcPr>
            <w:tcW w:w="110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12</w:t>
            </w:r>
          </w:p>
        </w:tc>
        <w:tc>
          <w:tcPr>
            <w:tcW w:w="105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12</w:t>
            </w:r>
          </w:p>
        </w:tc>
      </w:tr>
      <w:tr w:rsidR="002C344B" w:rsidRPr="00CD3820" w:rsidTr="002C344B">
        <w:trPr>
          <w:trHeight w:val="288"/>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11</w:t>
            </w:r>
          </w:p>
        </w:tc>
        <w:tc>
          <w:tcPr>
            <w:tcW w:w="15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rPr>
                <w:rFonts w:ascii="Calibri" w:hAnsi="Calibri"/>
                <w:sz w:val="22"/>
                <w:szCs w:val="22"/>
              </w:rPr>
            </w:pPr>
            <w:r w:rsidRPr="00CD3820">
              <w:rPr>
                <w:rFonts w:ascii="Calibri" w:hAnsi="Calibri"/>
                <w:sz w:val="22"/>
                <w:szCs w:val="22"/>
              </w:rPr>
              <w:t>Urban</w:t>
            </w:r>
          </w:p>
        </w:tc>
        <w:tc>
          <w:tcPr>
            <w:tcW w:w="862"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20</w:t>
            </w:r>
          </w:p>
        </w:tc>
        <w:tc>
          <w:tcPr>
            <w:tcW w:w="778"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12</w:t>
            </w:r>
          </w:p>
        </w:tc>
        <w:tc>
          <w:tcPr>
            <w:tcW w:w="76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7</w:t>
            </w:r>
          </w:p>
        </w:tc>
        <w:tc>
          <w:tcPr>
            <w:tcW w:w="6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5</w:t>
            </w:r>
          </w:p>
        </w:tc>
        <w:tc>
          <w:tcPr>
            <w:tcW w:w="1170"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Arial" w:hAnsi="Arial" w:cs="Arial"/>
                <w:sz w:val="22"/>
                <w:szCs w:val="22"/>
              </w:rPr>
            </w:pPr>
            <w:r w:rsidRPr="00CD3820">
              <w:rPr>
                <w:rFonts w:ascii="Arial" w:hAnsi="Arial" w:cs="Arial"/>
                <w:sz w:val="22"/>
                <w:szCs w:val="22"/>
              </w:rPr>
              <w:t>0</w:t>
            </w:r>
          </w:p>
        </w:tc>
        <w:tc>
          <w:tcPr>
            <w:tcW w:w="110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12</w:t>
            </w:r>
          </w:p>
        </w:tc>
        <w:tc>
          <w:tcPr>
            <w:tcW w:w="105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19</w:t>
            </w:r>
          </w:p>
        </w:tc>
      </w:tr>
      <w:tr w:rsidR="002C344B" w:rsidRPr="00CD3820" w:rsidTr="002C344B">
        <w:trPr>
          <w:trHeight w:val="288"/>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12</w:t>
            </w:r>
          </w:p>
        </w:tc>
        <w:tc>
          <w:tcPr>
            <w:tcW w:w="15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rPr>
                <w:rFonts w:ascii="Calibri" w:hAnsi="Calibri"/>
                <w:sz w:val="22"/>
                <w:szCs w:val="22"/>
              </w:rPr>
            </w:pPr>
            <w:r w:rsidRPr="00CD3820">
              <w:rPr>
                <w:rFonts w:ascii="Calibri" w:hAnsi="Calibri"/>
                <w:sz w:val="22"/>
                <w:szCs w:val="22"/>
              </w:rPr>
              <w:t>Consumption</w:t>
            </w:r>
          </w:p>
        </w:tc>
        <w:tc>
          <w:tcPr>
            <w:tcW w:w="862"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21</w:t>
            </w:r>
          </w:p>
        </w:tc>
        <w:tc>
          <w:tcPr>
            <w:tcW w:w="778"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12</w:t>
            </w:r>
          </w:p>
        </w:tc>
        <w:tc>
          <w:tcPr>
            <w:tcW w:w="76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7</w:t>
            </w:r>
          </w:p>
        </w:tc>
        <w:tc>
          <w:tcPr>
            <w:tcW w:w="6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5</w:t>
            </w:r>
          </w:p>
        </w:tc>
        <w:tc>
          <w:tcPr>
            <w:tcW w:w="1170"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Arial" w:hAnsi="Arial" w:cs="Arial"/>
                <w:sz w:val="22"/>
                <w:szCs w:val="22"/>
              </w:rPr>
            </w:pPr>
            <w:r w:rsidRPr="00CD3820">
              <w:rPr>
                <w:rFonts w:ascii="Arial" w:hAnsi="Arial" w:cs="Arial"/>
                <w:sz w:val="22"/>
                <w:szCs w:val="22"/>
              </w:rPr>
              <w:t>0</w:t>
            </w:r>
          </w:p>
        </w:tc>
        <w:tc>
          <w:tcPr>
            <w:tcW w:w="110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12</w:t>
            </w:r>
          </w:p>
        </w:tc>
        <w:tc>
          <w:tcPr>
            <w:tcW w:w="105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12</w:t>
            </w:r>
          </w:p>
        </w:tc>
      </w:tr>
      <w:tr w:rsidR="002C344B" w:rsidRPr="00CD3820" w:rsidTr="002C344B">
        <w:trPr>
          <w:trHeight w:val="288"/>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13</w:t>
            </w:r>
          </w:p>
        </w:tc>
        <w:tc>
          <w:tcPr>
            <w:tcW w:w="15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rPr>
                <w:rFonts w:ascii="Calibri" w:hAnsi="Calibri"/>
                <w:sz w:val="22"/>
                <w:szCs w:val="22"/>
              </w:rPr>
            </w:pPr>
            <w:r w:rsidRPr="00CD3820">
              <w:rPr>
                <w:rFonts w:ascii="Calibri" w:hAnsi="Calibri"/>
                <w:sz w:val="22"/>
                <w:szCs w:val="22"/>
              </w:rPr>
              <w:t>Climate</w:t>
            </w:r>
          </w:p>
        </w:tc>
        <w:tc>
          <w:tcPr>
            <w:tcW w:w="862"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8</w:t>
            </w:r>
          </w:p>
        </w:tc>
        <w:tc>
          <w:tcPr>
            <w:tcW w:w="778"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5</w:t>
            </w:r>
          </w:p>
        </w:tc>
        <w:tc>
          <w:tcPr>
            <w:tcW w:w="76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w:t>
            </w:r>
          </w:p>
        </w:tc>
        <w:tc>
          <w:tcPr>
            <w:tcW w:w="6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4</w:t>
            </w:r>
          </w:p>
        </w:tc>
        <w:tc>
          <w:tcPr>
            <w:tcW w:w="1170"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Arial" w:hAnsi="Arial" w:cs="Arial"/>
                <w:sz w:val="22"/>
                <w:szCs w:val="22"/>
              </w:rPr>
            </w:pPr>
            <w:r w:rsidRPr="00CD3820">
              <w:rPr>
                <w:rFonts w:ascii="Arial" w:hAnsi="Arial" w:cs="Arial"/>
                <w:sz w:val="22"/>
                <w:szCs w:val="22"/>
              </w:rPr>
              <w:t>1</w:t>
            </w:r>
          </w:p>
        </w:tc>
        <w:tc>
          <w:tcPr>
            <w:tcW w:w="110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4</w:t>
            </w:r>
          </w:p>
        </w:tc>
        <w:tc>
          <w:tcPr>
            <w:tcW w:w="105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8</w:t>
            </w:r>
          </w:p>
        </w:tc>
      </w:tr>
      <w:tr w:rsidR="002C344B" w:rsidRPr="00CD3820" w:rsidTr="002C344B">
        <w:trPr>
          <w:trHeight w:val="288"/>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14</w:t>
            </w:r>
          </w:p>
        </w:tc>
        <w:tc>
          <w:tcPr>
            <w:tcW w:w="15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rPr>
                <w:rFonts w:ascii="Calibri" w:hAnsi="Calibri"/>
                <w:sz w:val="22"/>
                <w:szCs w:val="22"/>
              </w:rPr>
            </w:pPr>
            <w:r w:rsidRPr="00CD3820">
              <w:rPr>
                <w:rFonts w:ascii="Calibri" w:hAnsi="Calibri"/>
                <w:sz w:val="22"/>
                <w:szCs w:val="22"/>
              </w:rPr>
              <w:t>Ocean</w:t>
            </w:r>
          </w:p>
        </w:tc>
        <w:tc>
          <w:tcPr>
            <w:tcW w:w="862"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20</w:t>
            </w:r>
          </w:p>
        </w:tc>
        <w:tc>
          <w:tcPr>
            <w:tcW w:w="778"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10</w:t>
            </w:r>
          </w:p>
        </w:tc>
        <w:tc>
          <w:tcPr>
            <w:tcW w:w="76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5</w:t>
            </w:r>
          </w:p>
        </w:tc>
        <w:tc>
          <w:tcPr>
            <w:tcW w:w="6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5</w:t>
            </w:r>
          </w:p>
        </w:tc>
        <w:tc>
          <w:tcPr>
            <w:tcW w:w="1170"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Arial" w:hAnsi="Arial" w:cs="Arial"/>
                <w:sz w:val="22"/>
                <w:szCs w:val="22"/>
              </w:rPr>
            </w:pPr>
            <w:r w:rsidRPr="00CD3820">
              <w:rPr>
                <w:rFonts w:ascii="Arial" w:hAnsi="Arial" w:cs="Arial"/>
                <w:sz w:val="22"/>
                <w:szCs w:val="22"/>
              </w:rPr>
              <w:t>7</w:t>
            </w:r>
          </w:p>
        </w:tc>
        <w:tc>
          <w:tcPr>
            <w:tcW w:w="110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3</w:t>
            </w:r>
          </w:p>
        </w:tc>
        <w:tc>
          <w:tcPr>
            <w:tcW w:w="105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3</w:t>
            </w:r>
          </w:p>
        </w:tc>
      </w:tr>
      <w:tr w:rsidR="002C344B" w:rsidRPr="00CD3820" w:rsidTr="002C344B">
        <w:trPr>
          <w:trHeight w:val="288"/>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15</w:t>
            </w:r>
          </w:p>
        </w:tc>
        <w:tc>
          <w:tcPr>
            <w:tcW w:w="15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rPr>
                <w:rFonts w:ascii="Calibri" w:hAnsi="Calibri"/>
                <w:sz w:val="22"/>
                <w:szCs w:val="22"/>
              </w:rPr>
            </w:pPr>
            <w:r w:rsidRPr="00CD3820">
              <w:rPr>
                <w:rFonts w:ascii="Calibri" w:hAnsi="Calibri"/>
                <w:sz w:val="22"/>
                <w:szCs w:val="22"/>
              </w:rPr>
              <w:t>Forest</w:t>
            </w:r>
          </w:p>
        </w:tc>
        <w:tc>
          <w:tcPr>
            <w:tcW w:w="862"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24</w:t>
            </w:r>
          </w:p>
        </w:tc>
        <w:tc>
          <w:tcPr>
            <w:tcW w:w="778"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15</w:t>
            </w:r>
          </w:p>
        </w:tc>
        <w:tc>
          <w:tcPr>
            <w:tcW w:w="76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8</w:t>
            </w:r>
          </w:p>
        </w:tc>
        <w:tc>
          <w:tcPr>
            <w:tcW w:w="6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7</w:t>
            </w:r>
          </w:p>
        </w:tc>
        <w:tc>
          <w:tcPr>
            <w:tcW w:w="1170"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Arial" w:hAnsi="Arial" w:cs="Arial"/>
                <w:sz w:val="22"/>
                <w:szCs w:val="22"/>
              </w:rPr>
            </w:pPr>
            <w:r w:rsidRPr="00CD3820">
              <w:rPr>
                <w:rFonts w:ascii="Arial" w:hAnsi="Arial" w:cs="Arial"/>
                <w:sz w:val="22"/>
                <w:szCs w:val="22"/>
              </w:rPr>
              <w:t>0</w:t>
            </w:r>
          </w:p>
        </w:tc>
        <w:tc>
          <w:tcPr>
            <w:tcW w:w="110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15</w:t>
            </w:r>
          </w:p>
        </w:tc>
        <w:tc>
          <w:tcPr>
            <w:tcW w:w="105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18</w:t>
            </w:r>
          </w:p>
        </w:tc>
      </w:tr>
      <w:tr w:rsidR="002C344B" w:rsidRPr="00CD3820" w:rsidTr="002C344B">
        <w:trPr>
          <w:trHeight w:val="288"/>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16</w:t>
            </w:r>
          </w:p>
        </w:tc>
        <w:tc>
          <w:tcPr>
            <w:tcW w:w="15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rPr>
                <w:rFonts w:ascii="Calibri" w:hAnsi="Calibri"/>
                <w:sz w:val="22"/>
                <w:szCs w:val="22"/>
              </w:rPr>
            </w:pPr>
            <w:r w:rsidRPr="00CD3820">
              <w:rPr>
                <w:rFonts w:ascii="Calibri" w:hAnsi="Calibri"/>
                <w:sz w:val="22"/>
                <w:szCs w:val="22"/>
              </w:rPr>
              <w:t>Justice</w:t>
            </w:r>
          </w:p>
        </w:tc>
        <w:tc>
          <w:tcPr>
            <w:tcW w:w="862"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21</w:t>
            </w:r>
          </w:p>
        </w:tc>
        <w:tc>
          <w:tcPr>
            <w:tcW w:w="778"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21</w:t>
            </w:r>
          </w:p>
        </w:tc>
        <w:tc>
          <w:tcPr>
            <w:tcW w:w="76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13</w:t>
            </w:r>
          </w:p>
        </w:tc>
        <w:tc>
          <w:tcPr>
            <w:tcW w:w="6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8</w:t>
            </w:r>
          </w:p>
        </w:tc>
        <w:tc>
          <w:tcPr>
            <w:tcW w:w="1170"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Arial" w:hAnsi="Arial" w:cs="Arial"/>
                <w:sz w:val="22"/>
                <w:szCs w:val="22"/>
              </w:rPr>
            </w:pPr>
            <w:r w:rsidRPr="00CD3820">
              <w:rPr>
                <w:rFonts w:ascii="Arial" w:hAnsi="Arial" w:cs="Arial"/>
                <w:sz w:val="22"/>
                <w:szCs w:val="22"/>
              </w:rPr>
              <w:t>0</w:t>
            </w:r>
          </w:p>
        </w:tc>
        <w:tc>
          <w:tcPr>
            <w:tcW w:w="110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21</w:t>
            </w:r>
          </w:p>
        </w:tc>
        <w:tc>
          <w:tcPr>
            <w:tcW w:w="105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22</w:t>
            </w:r>
          </w:p>
        </w:tc>
      </w:tr>
      <w:tr w:rsidR="002C344B" w:rsidRPr="00CD3820" w:rsidTr="002C344B">
        <w:trPr>
          <w:trHeight w:val="288"/>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17</w:t>
            </w:r>
          </w:p>
        </w:tc>
        <w:tc>
          <w:tcPr>
            <w:tcW w:w="15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rPr>
                <w:rFonts w:ascii="Calibri" w:hAnsi="Calibri"/>
                <w:sz w:val="22"/>
                <w:szCs w:val="22"/>
              </w:rPr>
            </w:pPr>
            <w:r w:rsidRPr="00CD3820">
              <w:rPr>
                <w:rFonts w:ascii="Calibri" w:hAnsi="Calibri"/>
                <w:sz w:val="22"/>
                <w:szCs w:val="22"/>
              </w:rPr>
              <w:t>Global Dev.</w:t>
            </w:r>
          </w:p>
        </w:tc>
        <w:tc>
          <w:tcPr>
            <w:tcW w:w="862"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38</w:t>
            </w:r>
          </w:p>
        </w:tc>
        <w:tc>
          <w:tcPr>
            <w:tcW w:w="778"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21</w:t>
            </w:r>
          </w:p>
        </w:tc>
        <w:tc>
          <w:tcPr>
            <w:tcW w:w="76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15</w:t>
            </w:r>
          </w:p>
        </w:tc>
        <w:tc>
          <w:tcPr>
            <w:tcW w:w="6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6</w:t>
            </w:r>
          </w:p>
        </w:tc>
        <w:tc>
          <w:tcPr>
            <w:tcW w:w="1170" w:type="dxa"/>
            <w:tcBorders>
              <w:top w:val="nil"/>
              <w:left w:val="nil"/>
              <w:bottom w:val="single" w:sz="4" w:space="0" w:color="auto"/>
              <w:right w:val="single" w:sz="4" w:space="0" w:color="auto"/>
            </w:tcBorders>
            <w:shd w:val="clear" w:color="auto" w:fill="auto"/>
            <w:noWrap/>
            <w:vAlign w:val="center"/>
            <w:hideMark/>
          </w:tcPr>
          <w:p w:rsidR="006F1477" w:rsidRPr="00CD3820" w:rsidRDefault="006F1477">
            <w:pPr>
              <w:jc w:val="center"/>
              <w:rPr>
                <w:rFonts w:ascii="Arial" w:hAnsi="Arial" w:cs="Arial"/>
                <w:sz w:val="22"/>
                <w:szCs w:val="22"/>
              </w:rPr>
            </w:pPr>
            <w:r w:rsidRPr="00CD3820">
              <w:rPr>
                <w:rFonts w:ascii="Arial" w:hAnsi="Arial" w:cs="Arial"/>
                <w:sz w:val="22"/>
                <w:szCs w:val="22"/>
              </w:rPr>
              <w:t>2</w:t>
            </w:r>
          </w:p>
        </w:tc>
        <w:tc>
          <w:tcPr>
            <w:tcW w:w="110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19</w:t>
            </w:r>
          </w:p>
        </w:tc>
        <w:tc>
          <w:tcPr>
            <w:tcW w:w="105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sz w:val="22"/>
                <w:szCs w:val="22"/>
              </w:rPr>
            </w:pPr>
            <w:r w:rsidRPr="00CD3820">
              <w:rPr>
                <w:rFonts w:ascii="Calibri" w:hAnsi="Calibri"/>
                <w:sz w:val="22"/>
                <w:szCs w:val="22"/>
              </w:rPr>
              <w:t>19</w:t>
            </w:r>
          </w:p>
        </w:tc>
      </w:tr>
      <w:tr w:rsidR="002C344B" w:rsidRPr="00CD3820" w:rsidTr="002C344B">
        <w:trPr>
          <w:trHeight w:val="288"/>
        </w:trPr>
        <w:tc>
          <w:tcPr>
            <w:tcW w:w="22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1477" w:rsidRPr="00CD3820" w:rsidRDefault="002C344B">
            <w:pPr>
              <w:jc w:val="center"/>
              <w:rPr>
                <w:rFonts w:ascii="Calibri" w:hAnsi="Calibri"/>
                <w:b/>
                <w:bCs/>
                <w:sz w:val="22"/>
                <w:szCs w:val="22"/>
              </w:rPr>
            </w:pPr>
            <w:r w:rsidRPr="00CD3820">
              <w:rPr>
                <w:rFonts w:ascii="Calibri" w:hAnsi="Calibri"/>
                <w:b/>
                <w:bCs/>
                <w:sz w:val="22"/>
                <w:szCs w:val="22"/>
              </w:rPr>
              <w:t xml:space="preserve">Total </w:t>
            </w:r>
          </w:p>
        </w:tc>
        <w:tc>
          <w:tcPr>
            <w:tcW w:w="862"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b/>
                <w:bCs/>
                <w:sz w:val="22"/>
                <w:szCs w:val="22"/>
              </w:rPr>
            </w:pPr>
            <w:r w:rsidRPr="00CD3820">
              <w:rPr>
                <w:rFonts w:ascii="Calibri" w:hAnsi="Calibri"/>
                <w:b/>
                <w:bCs/>
                <w:sz w:val="22"/>
                <w:szCs w:val="22"/>
              </w:rPr>
              <w:t>304</w:t>
            </w:r>
          </w:p>
        </w:tc>
        <w:tc>
          <w:tcPr>
            <w:tcW w:w="778"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b/>
                <w:bCs/>
                <w:sz w:val="22"/>
                <w:szCs w:val="22"/>
              </w:rPr>
            </w:pPr>
            <w:r w:rsidRPr="00CD3820">
              <w:rPr>
                <w:rFonts w:ascii="Calibri" w:hAnsi="Calibri"/>
                <w:b/>
                <w:bCs/>
                <w:sz w:val="22"/>
                <w:szCs w:val="22"/>
              </w:rPr>
              <w:t>224</w:t>
            </w:r>
          </w:p>
        </w:tc>
        <w:tc>
          <w:tcPr>
            <w:tcW w:w="76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b/>
                <w:bCs/>
                <w:sz w:val="22"/>
                <w:szCs w:val="22"/>
              </w:rPr>
            </w:pPr>
            <w:r w:rsidRPr="00CD3820">
              <w:rPr>
                <w:rFonts w:ascii="Calibri" w:hAnsi="Calibri"/>
                <w:b/>
                <w:bCs/>
                <w:sz w:val="22"/>
                <w:szCs w:val="22"/>
              </w:rPr>
              <w:t>161</w:t>
            </w:r>
          </w:p>
        </w:tc>
        <w:tc>
          <w:tcPr>
            <w:tcW w:w="67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b/>
                <w:bCs/>
                <w:sz w:val="22"/>
                <w:szCs w:val="22"/>
              </w:rPr>
            </w:pPr>
            <w:r w:rsidRPr="00CD3820">
              <w:rPr>
                <w:rFonts w:ascii="Calibri" w:hAnsi="Calibri"/>
                <w:b/>
                <w:bCs/>
                <w:sz w:val="22"/>
                <w:szCs w:val="22"/>
              </w:rPr>
              <w:t>63</w:t>
            </w:r>
          </w:p>
        </w:tc>
        <w:tc>
          <w:tcPr>
            <w:tcW w:w="1170"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b/>
                <w:bCs/>
                <w:sz w:val="22"/>
                <w:szCs w:val="22"/>
              </w:rPr>
            </w:pPr>
            <w:r w:rsidRPr="00CD3820">
              <w:rPr>
                <w:rFonts w:ascii="Calibri" w:hAnsi="Calibri"/>
                <w:b/>
                <w:bCs/>
                <w:sz w:val="22"/>
                <w:szCs w:val="22"/>
              </w:rPr>
              <w:t>13</w:t>
            </w:r>
          </w:p>
        </w:tc>
        <w:tc>
          <w:tcPr>
            <w:tcW w:w="1104"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b/>
                <w:bCs/>
                <w:sz w:val="22"/>
                <w:szCs w:val="22"/>
              </w:rPr>
            </w:pPr>
            <w:r w:rsidRPr="00CD3820">
              <w:rPr>
                <w:rFonts w:ascii="Calibri" w:hAnsi="Calibri"/>
                <w:b/>
                <w:bCs/>
                <w:sz w:val="22"/>
                <w:szCs w:val="22"/>
              </w:rPr>
              <w:t>211</w:t>
            </w:r>
          </w:p>
        </w:tc>
        <w:tc>
          <w:tcPr>
            <w:tcW w:w="1056" w:type="dxa"/>
            <w:tcBorders>
              <w:top w:val="nil"/>
              <w:left w:val="nil"/>
              <w:bottom w:val="single" w:sz="4" w:space="0" w:color="auto"/>
              <w:right w:val="single" w:sz="4" w:space="0" w:color="auto"/>
            </w:tcBorders>
            <w:shd w:val="clear" w:color="auto" w:fill="auto"/>
            <w:noWrap/>
            <w:vAlign w:val="bottom"/>
            <w:hideMark/>
          </w:tcPr>
          <w:p w:rsidR="006F1477" w:rsidRPr="00CD3820" w:rsidRDefault="006F1477">
            <w:pPr>
              <w:jc w:val="center"/>
              <w:rPr>
                <w:rFonts w:ascii="Calibri" w:hAnsi="Calibri"/>
                <w:b/>
                <w:bCs/>
                <w:sz w:val="22"/>
                <w:szCs w:val="22"/>
              </w:rPr>
            </w:pPr>
            <w:r w:rsidRPr="00CD3820">
              <w:rPr>
                <w:rFonts w:ascii="Calibri" w:hAnsi="Calibri"/>
                <w:b/>
                <w:bCs/>
                <w:sz w:val="22"/>
                <w:szCs w:val="22"/>
              </w:rPr>
              <w:t>257</w:t>
            </w:r>
          </w:p>
        </w:tc>
      </w:tr>
    </w:tbl>
    <w:p w:rsidR="00A00AB1" w:rsidRPr="00CD3820" w:rsidRDefault="00A00AB1" w:rsidP="00A92BA4">
      <w:pPr>
        <w:jc w:val="both"/>
      </w:pPr>
    </w:p>
    <w:p w:rsidR="00A00AB1" w:rsidRPr="00CD3820" w:rsidRDefault="00A00AB1" w:rsidP="00A92BA4">
      <w:pPr>
        <w:jc w:val="both"/>
      </w:pPr>
    </w:p>
    <w:p w:rsidR="00B161AC" w:rsidRPr="00CD3820" w:rsidRDefault="00EA4AD3" w:rsidP="00A92BA4">
      <w:pPr>
        <w:jc w:val="both"/>
      </w:pPr>
      <w:r w:rsidRPr="00CD3820">
        <w:t xml:space="preserve">Based on the information available to us during the consultancy, it </w:t>
      </w:r>
      <w:proofErr w:type="gramStart"/>
      <w:r w:rsidRPr="00CD3820">
        <w:t>become</w:t>
      </w:r>
      <w:proofErr w:type="gramEnd"/>
      <w:r w:rsidRPr="00CD3820">
        <w:t xml:space="preserve"> clear immediately that not all indicators were created equal.  Some were already calculated and available in official reports while some other indicators were just puzzling.  In reviewing each of the 257 indicators found to be applicable to Mongolia, we created a typology according to the easiness of computation.  We </w:t>
      </w:r>
      <w:r w:rsidR="002B4C8B" w:rsidRPr="00CD3820">
        <w:t xml:space="preserve">defined 8 category </w:t>
      </w:r>
      <w:proofErr w:type="gramStart"/>
      <w:r w:rsidR="002B4C8B" w:rsidRPr="00CD3820">
        <w:t>status</w:t>
      </w:r>
      <w:proofErr w:type="gramEnd"/>
      <w:r w:rsidRPr="00CD3820">
        <w:t xml:space="preserve"> as follow:</w:t>
      </w:r>
    </w:p>
    <w:p w:rsidR="00B161AC" w:rsidRPr="00CD3820" w:rsidRDefault="00B161AC" w:rsidP="00A92BA4">
      <w:pPr>
        <w:jc w:val="both"/>
      </w:pPr>
    </w:p>
    <w:p w:rsidR="0062277A" w:rsidRPr="00CD3820" w:rsidRDefault="0062277A" w:rsidP="009026BF">
      <w:pPr>
        <w:pStyle w:val="ListParagraph"/>
        <w:numPr>
          <w:ilvl w:val="0"/>
          <w:numId w:val="42"/>
        </w:numPr>
        <w:jc w:val="both"/>
      </w:pPr>
      <w:r w:rsidRPr="009026BF">
        <w:rPr>
          <w:b/>
          <w:i/>
        </w:rPr>
        <w:t>Indicators readily available</w:t>
      </w:r>
      <w:r w:rsidRPr="00CD3820">
        <w:t xml:space="preserve">: Those indicators </w:t>
      </w:r>
      <w:r w:rsidR="00B35D51" w:rsidRPr="00CD3820">
        <w:t xml:space="preserve">(45) </w:t>
      </w:r>
      <w:r w:rsidRPr="00CD3820">
        <w:t>were considered well defined as well as being already computed.  For example, the “prevalence of undern</w:t>
      </w:r>
      <w:r w:rsidR="007C2BC8" w:rsidRPr="00CD3820">
        <w:t>o</w:t>
      </w:r>
      <w:r w:rsidRPr="00CD3820">
        <w:t>urishment” (indicator 2.1.1)</w:t>
      </w:r>
      <w:r w:rsidR="007C2BC8" w:rsidRPr="00CD3820">
        <w:t xml:space="preserve"> has already been computed from the latest SISS survey and it is about to be officially published.</w:t>
      </w:r>
    </w:p>
    <w:p w:rsidR="007C2BC8" w:rsidRPr="00CD3820" w:rsidRDefault="007C2BC8" w:rsidP="0062277A">
      <w:pPr>
        <w:jc w:val="both"/>
      </w:pPr>
    </w:p>
    <w:p w:rsidR="0062277A" w:rsidRPr="00CD3820" w:rsidRDefault="0062277A" w:rsidP="009026BF">
      <w:pPr>
        <w:pStyle w:val="ListParagraph"/>
        <w:numPr>
          <w:ilvl w:val="0"/>
          <w:numId w:val="42"/>
        </w:numPr>
        <w:jc w:val="both"/>
      </w:pPr>
      <w:r w:rsidRPr="009026BF">
        <w:rPr>
          <w:b/>
          <w:i/>
        </w:rPr>
        <w:t>Indicators available after little effort</w:t>
      </w:r>
      <w:r w:rsidRPr="00CD3820">
        <w:t>: the information needed to compute those indicators</w:t>
      </w:r>
      <w:r w:rsidR="00B35D51" w:rsidRPr="00CD3820">
        <w:t xml:space="preserve"> (64)</w:t>
      </w:r>
      <w:r w:rsidRPr="00CD3820">
        <w:t xml:space="preserve"> were found although the actual comp</w:t>
      </w:r>
      <w:r w:rsidR="007C2BC8" w:rsidRPr="00CD3820">
        <w:t xml:space="preserve">utation has not been done yet.  For example, “the proportion of the population with access to </w:t>
      </w:r>
      <w:r w:rsidR="007C2BC8" w:rsidRPr="00CD3820">
        <w:lastRenderedPageBreak/>
        <w:t>electricity” (indicator 1.4.1h) could easily be computed fr</w:t>
      </w:r>
      <w:r w:rsidR="009026BF">
        <w:t>om the latest HSES survey as a relevant</w:t>
      </w:r>
      <w:r w:rsidR="007C2BC8" w:rsidRPr="00CD3820">
        <w:t xml:space="preserve"> question had been asked in that survey.</w:t>
      </w:r>
    </w:p>
    <w:p w:rsidR="007C2BC8" w:rsidRPr="00CD3820" w:rsidRDefault="007C2BC8" w:rsidP="0062277A">
      <w:pPr>
        <w:jc w:val="both"/>
      </w:pPr>
    </w:p>
    <w:p w:rsidR="0062277A" w:rsidRPr="00CD3820" w:rsidRDefault="0062277A" w:rsidP="009026BF">
      <w:pPr>
        <w:pStyle w:val="ListParagraph"/>
        <w:numPr>
          <w:ilvl w:val="0"/>
          <w:numId w:val="42"/>
        </w:numPr>
        <w:jc w:val="both"/>
      </w:pPr>
      <w:r w:rsidRPr="009026BF">
        <w:rPr>
          <w:b/>
          <w:i/>
        </w:rPr>
        <w:t>Indicator available after more effort</w:t>
      </w:r>
      <w:r w:rsidR="007C2BC8" w:rsidRPr="00CD3820">
        <w:t>: similarly to the previous category, we consider that the information needed to compute those indicators</w:t>
      </w:r>
      <w:r w:rsidR="00B35D51" w:rsidRPr="00CD3820">
        <w:t xml:space="preserve"> (28)</w:t>
      </w:r>
      <w:r w:rsidR="007C2BC8" w:rsidRPr="00CD3820">
        <w:t xml:space="preserve"> is available although the actual computation would be much more demanding.  For example, the “Share of the rural population who live within 2 km of an all season road” (indicator 9.1.1) could be computed by combining information </w:t>
      </w:r>
      <w:proofErr w:type="gramStart"/>
      <w:r w:rsidR="007C2BC8" w:rsidRPr="00CD3820">
        <w:t>from</w:t>
      </w:r>
      <w:proofErr w:type="gramEnd"/>
      <w:r w:rsidR="007C2BC8" w:rsidRPr="00CD3820">
        <w:t xml:space="preserve"> the population census and </w:t>
      </w:r>
      <w:r w:rsidR="00DD0772" w:rsidRPr="00CD3820">
        <w:t xml:space="preserve">road maps using GIS techniques.  That could be done with existing information but this is a non-trivial task.  </w:t>
      </w:r>
    </w:p>
    <w:p w:rsidR="007C2BC8" w:rsidRPr="00CD3820" w:rsidRDefault="007C2BC8" w:rsidP="007C2BC8">
      <w:pPr>
        <w:jc w:val="both"/>
      </w:pPr>
    </w:p>
    <w:p w:rsidR="0062277A" w:rsidRPr="00CD3820" w:rsidRDefault="0062277A" w:rsidP="009026BF">
      <w:pPr>
        <w:pStyle w:val="ListParagraph"/>
        <w:numPr>
          <w:ilvl w:val="0"/>
          <w:numId w:val="42"/>
        </w:numPr>
        <w:jc w:val="both"/>
      </w:pPr>
      <w:r w:rsidRPr="009026BF">
        <w:rPr>
          <w:b/>
          <w:i/>
        </w:rPr>
        <w:t>Indicator available if data collection changed</w:t>
      </w:r>
      <w:r w:rsidR="00DD0772" w:rsidRPr="00CD3820">
        <w:t>:</w:t>
      </w:r>
      <w:r w:rsidRPr="00CD3820">
        <w:t xml:space="preserve"> </w:t>
      </w:r>
      <w:r w:rsidR="00DD0772" w:rsidRPr="00CD3820">
        <w:t>for indicators</w:t>
      </w:r>
      <w:r w:rsidR="00B35D51" w:rsidRPr="00CD3820">
        <w:t xml:space="preserve"> (72)</w:t>
      </w:r>
      <w:r w:rsidR="00DD0772" w:rsidRPr="00CD3820">
        <w:t xml:space="preserve"> falling in that category, we could not found any existing information and therefore further effort in data collection would be needed before those indicators could be computed.  For example, “Proportion of population satisfied with their last experience of public service” (indicator 16.6.2) could be easily </w:t>
      </w:r>
      <w:proofErr w:type="gramStart"/>
      <w:r w:rsidR="00DD0772" w:rsidRPr="00CD3820">
        <w:t>be</w:t>
      </w:r>
      <w:proofErr w:type="gramEnd"/>
      <w:r w:rsidR="00DD0772" w:rsidRPr="00CD3820">
        <w:t xml:space="preserve"> computed once a relevant question had been added in a forthcoming survey or in a completely new survey assimilated to opinion poll.</w:t>
      </w:r>
    </w:p>
    <w:p w:rsidR="00DD0772" w:rsidRPr="00CD3820" w:rsidRDefault="00DD0772" w:rsidP="00DD0772">
      <w:pPr>
        <w:jc w:val="both"/>
      </w:pPr>
    </w:p>
    <w:p w:rsidR="0062277A" w:rsidRPr="009026BF" w:rsidRDefault="0062277A" w:rsidP="009026BF">
      <w:pPr>
        <w:pStyle w:val="ListParagraph"/>
        <w:numPr>
          <w:ilvl w:val="0"/>
          <w:numId w:val="42"/>
        </w:numPr>
        <w:jc w:val="both"/>
        <w:rPr>
          <w:b/>
          <w:i/>
        </w:rPr>
      </w:pPr>
      <w:r w:rsidRPr="009026BF">
        <w:rPr>
          <w:b/>
          <w:i/>
        </w:rPr>
        <w:t>Indicator non applicable in the case of Mongolia</w:t>
      </w:r>
      <w:r w:rsidR="00DC6B1D" w:rsidRPr="00CD3820">
        <w:t>: since the list of global indicators would be shared by most developing countries from all continents it is unsurprising that some of those global indicators are clearly not relevant in the case of non-tropical country such Mongolia.  An obvious example is “Malaria incident cases per 1,000 person years” (indicator 3.3.3)</w:t>
      </w:r>
      <w:r w:rsidR="00B35D51" w:rsidRPr="00CD3820">
        <w:t>.  That was the case of 13 indicators.</w:t>
      </w:r>
    </w:p>
    <w:p w:rsidR="00DC6B1D" w:rsidRPr="00CD3820" w:rsidRDefault="00DC6B1D" w:rsidP="00DC6B1D">
      <w:pPr>
        <w:jc w:val="both"/>
      </w:pPr>
    </w:p>
    <w:p w:rsidR="0062277A" w:rsidRPr="00CD3820" w:rsidRDefault="0062277A" w:rsidP="009026BF">
      <w:pPr>
        <w:pStyle w:val="ListParagraph"/>
        <w:numPr>
          <w:ilvl w:val="0"/>
          <w:numId w:val="42"/>
        </w:numPr>
        <w:jc w:val="both"/>
      </w:pPr>
      <w:r w:rsidRPr="009026BF">
        <w:rPr>
          <w:b/>
          <w:i/>
        </w:rPr>
        <w:t>Indicator coming from external institution</w:t>
      </w:r>
      <w:r w:rsidR="00DC6B1D" w:rsidRPr="00CD3820">
        <w:t>: A few indicators</w:t>
      </w:r>
      <w:r w:rsidR="00B35D51" w:rsidRPr="00CD3820">
        <w:t xml:space="preserve"> (5)</w:t>
      </w:r>
      <w:r w:rsidR="00DC6B1D" w:rsidRPr="00CD3820">
        <w:t xml:space="preserve"> are synthetic index developed by different international organization that would be centrally computed for all countries. </w:t>
      </w:r>
      <w:r w:rsidRPr="00CD3820">
        <w:t xml:space="preserve"> </w:t>
      </w:r>
      <w:r w:rsidR="00DC6B1D" w:rsidRPr="00CD3820">
        <w:t xml:space="preserve">An example is the “Percentage of attributes of 13 core capacities that have been attained at a specific point in time” (indicator 3.c.2) that is being computing by </w:t>
      </w:r>
      <w:proofErr w:type="gramStart"/>
      <w:r w:rsidR="00DC6B1D" w:rsidRPr="00CD3820">
        <w:t>WHO</w:t>
      </w:r>
      <w:proofErr w:type="gramEnd"/>
      <w:r w:rsidR="00DC6B1D" w:rsidRPr="00CD3820">
        <w:t>.</w:t>
      </w:r>
    </w:p>
    <w:p w:rsidR="00DC6B1D" w:rsidRPr="00CD3820" w:rsidRDefault="00DC6B1D" w:rsidP="00DC6B1D">
      <w:pPr>
        <w:jc w:val="both"/>
      </w:pPr>
    </w:p>
    <w:p w:rsidR="0062277A" w:rsidRPr="00CD3820" w:rsidRDefault="0062277A" w:rsidP="009026BF">
      <w:pPr>
        <w:pStyle w:val="ListParagraph"/>
        <w:numPr>
          <w:ilvl w:val="0"/>
          <w:numId w:val="42"/>
        </w:numPr>
        <w:jc w:val="both"/>
      </w:pPr>
      <w:r w:rsidRPr="009026BF">
        <w:rPr>
          <w:b/>
          <w:i/>
        </w:rPr>
        <w:t>Not clear/</w:t>
      </w:r>
      <w:proofErr w:type="gramStart"/>
      <w:r w:rsidRPr="009026BF">
        <w:rPr>
          <w:b/>
          <w:i/>
        </w:rPr>
        <w:t>Don't</w:t>
      </w:r>
      <w:proofErr w:type="gramEnd"/>
      <w:r w:rsidRPr="009026BF">
        <w:rPr>
          <w:b/>
          <w:i/>
        </w:rPr>
        <w:t xml:space="preserve"> know</w:t>
      </w:r>
      <w:r w:rsidR="00DC6B1D" w:rsidRPr="00CD3820">
        <w:t xml:space="preserve">: </w:t>
      </w:r>
      <w:r w:rsidR="00540B85" w:rsidRPr="00CD3820">
        <w:t xml:space="preserve">the wording of </w:t>
      </w:r>
      <w:r w:rsidR="00B35D51" w:rsidRPr="00CD3820">
        <w:t xml:space="preserve">quite </w:t>
      </w:r>
      <w:r w:rsidR="00540B85" w:rsidRPr="00CD3820">
        <w:t>a few indicators</w:t>
      </w:r>
      <w:r w:rsidR="00B35D51" w:rsidRPr="00CD3820">
        <w:t xml:space="preserve"> (21)</w:t>
      </w:r>
      <w:r w:rsidR="00540B85" w:rsidRPr="00CD3820">
        <w:t xml:space="preserve"> was unclear and puzzling to us.  In such case, further investigation would be needed to better understand and defined more precisely those indicators. An example of such indicator is the </w:t>
      </w:r>
      <w:r w:rsidR="00DC6B1D" w:rsidRPr="00CD3820">
        <w:t xml:space="preserve">“Proportion of population with access to affordable essential </w:t>
      </w:r>
      <w:r w:rsidR="009026BF" w:rsidRPr="00CD3820">
        <w:t>medicines</w:t>
      </w:r>
      <w:r w:rsidR="00DC6B1D" w:rsidRPr="00CD3820">
        <w:t xml:space="preserve"> on a susta</w:t>
      </w:r>
      <w:r w:rsidR="00540B85" w:rsidRPr="00CD3820">
        <w:t>i</w:t>
      </w:r>
      <w:r w:rsidR="00DC6B1D" w:rsidRPr="00CD3820">
        <w:t>nable basis” (indicator 3.b.1)</w:t>
      </w:r>
      <w:r w:rsidR="00540B85" w:rsidRPr="00CD3820">
        <w:t xml:space="preserve"> </w:t>
      </w:r>
      <w:proofErr w:type="gramStart"/>
      <w:r w:rsidR="00540B85" w:rsidRPr="00CD3820">
        <w:t>were</w:t>
      </w:r>
      <w:proofErr w:type="gramEnd"/>
      <w:r w:rsidR="00540B85" w:rsidRPr="00CD3820">
        <w:t xml:space="preserve"> the concepts of </w:t>
      </w:r>
      <w:r w:rsidR="00540B85" w:rsidRPr="009026BF">
        <w:rPr>
          <w:i/>
        </w:rPr>
        <w:t>access</w:t>
      </w:r>
      <w:r w:rsidR="00540B85" w:rsidRPr="00CD3820">
        <w:t xml:space="preserve">, </w:t>
      </w:r>
      <w:r w:rsidR="00540B85" w:rsidRPr="009026BF">
        <w:rPr>
          <w:i/>
        </w:rPr>
        <w:t>essential</w:t>
      </w:r>
      <w:r w:rsidR="00540B85" w:rsidRPr="00CD3820">
        <w:t xml:space="preserve">, and </w:t>
      </w:r>
      <w:r w:rsidR="00540B85" w:rsidRPr="009026BF">
        <w:rPr>
          <w:i/>
        </w:rPr>
        <w:t>sustainability</w:t>
      </w:r>
      <w:r w:rsidR="00540B85" w:rsidRPr="00CD3820">
        <w:t xml:space="preserve"> needs to be properly defined. </w:t>
      </w:r>
    </w:p>
    <w:p w:rsidR="00540B85" w:rsidRPr="00CD3820" w:rsidRDefault="00540B85" w:rsidP="00540B85">
      <w:pPr>
        <w:jc w:val="both"/>
      </w:pPr>
    </w:p>
    <w:p w:rsidR="0062277A" w:rsidRPr="009026BF" w:rsidRDefault="0062277A" w:rsidP="009026BF">
      <w:pPr>
        <w:pStyle w:val="ListParagraph"/>
        <w:numPr>
          <w:ilvl w:val="0"/>
          <w:numId w:val="42"/>
        </w:numPr>
        <w:jc w:val="both"/>
        <w:rPr>
          <w:b/>
          <w:i/>
        </w:rPr>
      </w:pPr>
      <w:r w:rsidRPr="009026BF">
        <w:rPr>
          <w:b/>
          <w:i/>
        </w:rPr>
        <w:t>Grey standby</w:t>
      </w:r>
      <w:r w:rsidR="00540B85" w:rsidRPr="00CD3820">
        <w:t>: and finally, a significant number of indicators</w:t>
      </w:r>
      <w:r w:rsidR="00B35D51" w:rsidRPr="00CD3820">
        <w:t xml:space="preserve"> (22)</w:t>
      </w:r>
      <w:r w:rsidR="00540B85" w:rsidRPr="00CD3820">
        <w:t xml:space="preserve"> had been coded “grey” by the IAEG-SDGs group, meaning they were not consensual yet.  In many cases, although not definitively adopted yet we would be able to compute them if they are made official.  However, some of them are simply not pro</w:t>
      </w:r>
      <w:r w:rsidR="00B35D51" w:rsidRPr="00CD3820">
        <w:t>perly defined enough</w:t>
      </w:r>
      <w:r w:rsidR="00540B85" w:rsidRPr="00CD3820">
        <w:t xml:space="preserve"> to be investigated.  An example of the latter case is </w:t>
      </w:r>
      <w:r w:rsidR="00D77F83" w:rsidRPr="00CD3820">
        <w:t xml:space="preserve">“Percentage of 15-year old students enrolled in secondary school demonstrating at least a fixed level of knowledge across a selection of topics in environmental science and </w:t>
      </w:r>
      <w:proofErr w:type="spellStart"/>
      <w:r w:rsidR="00D77F83" w:rsidRPr="00CD3820">
        <w:t>geoscience</w:t>
      </w:r>
      <w:proofErr w:type="spellEnd"/>
      <w:r w:rsidR="00D77F83" w:rsidRPr="00CD3820">
        <w:t>” (indicator 4.7.1)</w:t>
      </w:r>
      <w:r w:rsidR="00B35D51" w:rsidRPr="00CD3820">
        <w:t>.</w:t>
      </w:r>
    </w:p>
    <w:p w:rsidR="00810077" w:rsidRPr="00CD3820" w:rsidRDefault="00810077" w:rsidP="00A92BA4">
      <w:pPr>
        <w:jc w:val="both"/>
      </w:pPr>
    </w:p>
    <w:p w:rsidR="00EA4AD3" w:rsidRPr="00CD3820" w:rsidRDefault="00EA4AD3" w:rsidP="00A92BA4">
      <w:pPr>
        <w:jc w:val="both"/>
      </w:pPr>
      <w:r w:rsidRPr="00CD3820">
        <w:t>Table 3 presents a breakdown of the 257 indicators by goal and status</w:t>
      </w:r>
      <w:r w:rsidR="00B35D51" w:rsidRPr="00CD3820">
        <w:t xml:space="preserve">. Although only 45 indicators were readily available, a further 64 can be computed very easily.  In </w:t>
      </w:r>
      <w:r w:rsidR="00B35D51" w:rsidRPr="00CD3820">
        <w:lastRenderedPageBreak/>
        <w:t xml:space="preserve">particular, some 20 poverty indicators could be computed in less than a day as raw survey data needed to compute them are already available.  A more serious issue concerns the fourth category, indicators for which </w:t>
      </w:r>
      <w:r w:rsidR="00082A02" w:rsidRPr="00CD3820">
        <w:t xml:space="preserve">new data collection effort would be needed.  In particular, almost Forest and Justice </w:t>
      </w:r>
      <w:proofErr w:type="gramStart"/>
      <w:r w:rsidR="00082A02" w:rsidRPr="00CD3820">
        <w:t>indicators</w:t>
      </w:r>
      <w:proofErr w:type="gramEnd"/>
      <w:r w:rsidR="00082A02" w:rsidRPr="00CD3820">
        <w:t xml:space="preserve"> would require serious data collection effort.</w:t>
      </w:r>
    </w:p>
    <w:p w:rsidR="0062277A" w:rsidRDefault="0062277A" w:rsidP="00A92BA4">
      <w:pPr>
        <w:jc w:val="both"/>
      </w:pPr>
    </w:p>
    <w:p w:rsidR="00CD3820" w:rsidRDefault="00CD3820" w:rsidP="00A92BA4">
      <w:pPr>
        <w:jc w:val="both"/>
      </w:pPr>
    </w:p>
    <w:p w:rsidR="0062277A" w:rsidRPr="00CD3820" w:rsidRDefault="00B161AC" w:rsidP="00A92BA4">
      <w:pPr>
        <w:jc w:val="both"/>
        <w:rPr>
          <w:b/>
        </w:rPr>
      </w:pPr>
      <w:r w:rsidRPr="00CD3820">
        <w:rPr>
          <w:b/>
        </w:rPr>
        <w:t>Table 3: Status of Indicators, by Goal</w:t>
      </w:r>
    </w:p>
    <w:tbl>
      <w:tblPr>
        <w:tblW w:w="9319" w:type="dxa"/>
        <w:tblInd w:w="113" w:type="dxa"/>
        <w:tblLayout w:type="fixed"/>
        <w:tblLook w:val="04A0"/>
      </w:tblPr>
      <w:tblGrid>
        <w:gridCol w:w="651"/>
        <w:gridCol w:w="1504"/>
        <w:gridCol w:w="1080"/>
        <w:gridCol w:w="1080"/>
        <w:gridCol w:w="1080"/>
        <w:gridCol w:w="1170"/>
        <w:gridCol w:w="1080"/>
        <w:gridCol w:w="810"/>
        <w:gridCol w:w="864"/>
      </w:tblGrid>
      <w:tr w:rsidR="00CD3820" w:rsidRPr="00CD3820" w:rsidTr="00B161AC">
        <w:trPr>
          <w:trHeight w:val="290"/>
        </w:trPr>
        <w:tc>
          <w:tcPr>
            <w:tcW w:w="651" w:type="dxa"/>
            <w:vMerge w:val="restart"/>
            <w:tcBorders>
              <w:top w:val="single" w:sz="4" w:space="0" w:color="auto"/>
              <w:left w:val="single" w:sz="4" w:space="0" w:color="auto"/>
              <w:bottom w:val="single" w:sz="4" w:space="0" w:color="000000"/>
              <w:right w:val="single" w:sz="4" w:space="0" w:color="auto"/>
            </w:tcBorders>
            <w:shd w:val="clear" w:color="auto" w:fill="auto"/>
            <w:tcMar>
              <w:left w:w="72" w:type="dxa"/>
              <w:right w:w="72" w:type="dxa"/>
            </w:tcMar>
            <w:vAlign w:val="center"/>
            <w:hideMark/>
          </w:tcPr>
          <w:p w:rsidR="00B161AC" w:rsidRPr="00CD3820" w:rsidRDefault="00B161AC">
            <w:pPr>
              <w:jc w:val="center"/>
              <w:rPr>
                <w:rFonts w:ascii="Calibri" w:hAnsi="Calibri"/>
                <w:sz w:val="22"/>
                <w:szCs w:val="22"/>
              </w:rPr>
            </w:pPr>
            <w:r w:rsidRPr="00CD3820">
              <w:rPr>
                <w:rFonts w:ascii="Calibri" w:hAnsi="Calibri"/>
                <w:sz w:val="22"/>
                <w:szCs w:val="22"/>
              </w:rPr>
              <w:t>Goal code</w:t>
            </w:r>
          </w:p>
        </w:tc>
        <w:tc>
          <w:tcPr>
            <w:tcW w:w="1504" w:type="dxa"/>
            <w:vMerge w:val="restart"/>
            <w:tcBorders>
              <w:top w:val="single" w:sz="4" w:space="0" w:color="auto"/>
              <w:left w:val="single" w:sz="4" w:space="0" w:color="auto"/>
              <w:bottom w:val="single" w:sz="4" w:space="0" w:color="000000"/>
              <w:right w:val="single" w:sz="4" w:space="0" w:color="auto"/>
            </w:tcBorders>
            <w:shd w:val="clear" w:color="auto" w:fill="auto"/>
            <w:tcMar>
              <w:left w:w="72" w:type="dxa"/>
              <w:right w:w="72" w:type="dxa"/>
            </w:tcMar>
            <w:vAlign w:val="center"/>
            <w:hideMark/>
          </w:tcPr>
          <w:p w:rsidR="00B161AC" w:rsidRPr="00CD3820" w:rsidRDefault="00B161AC">
            <w:pPr>
              <w:jc w:val="center"/>
              <w:rPr>
                <w:rFonts w:ascii="Calibri" w:hAnsi="Calibri"/>
                <w:sz w:val="22"/>
                <w:szCs w:val="22"/>
              </w:rPr>
            </w:pPr>
            <w:r w:rsidRPr="00CD3820">
              <w:rPr>
                <w:rFonts w:ascii="Calibri" w:hAnsi="Calibri"/>
                <w:sz w:val="22"/>
                <w:szCs w:val="22"/>
              </w:rPr>
              <w:t>Goal name</w:t>
            </w:r>
          </w:p>
        </w:tc>
        <w:tc>
          <w:tcPr>
            <w:tcW w:w="7164" w:type="dxa"/>
            <w:gridSpan w:val="7"/>
            <w:tcBorders>
              <w:top w:val="single" w:sz="4" w:space="0" w:color="auto"/>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sz w:val="22"/>
                <w:szCs w:val="22"/>
              </w:rPr>
            </w:pPr>
            <w:r w:rsidRPr="00CD3820">
              <w:rPr>
                <w:rFonts w:ascii="Calibri" w:hAnsi="Calibri"/>
                <w:sz w:val="22"/>
                <w:szCs w:val="22"/>
              </w:rPr>
              <w:t>Status of Indicators</w:t>
            </w:r>
          </w:p>
        </w:tc>
      </w:tr>
      <w:tr w:rsidR="00CD3820" w:rsidRPr="00CD3820" w:rsidTr="00B161AC">
        <w:trPr>
          <w:trHeight w:val="290"/>
        </w:trPr>
        <w:tc>
          <w:tcPr>
            <w:tcW w:w="651" w:type="dxa"/>
            <w:vMerge/>
            <w:tcBorders>
              <w:top w:val="single" w:sz="4" w:space="0" w:color="auto"/>
              <w:left w:val="single" w:sz="4" w:space="0" w:color="auto"/>
              <w:bottom w:val="single" w:sz="4" w:space="0" w:color="000000"/>
              <w:right w:val="single" w:sz="4" w:space="0" w:color="auto"/>
            </w:tcBorders>
            <w:tcMar>
              <w:left w:w="72" w:type="dxa"/>
              <w:right w:w="72" w:type="dxa"/>
            </w:tcMar>
            <w:vAlign w:val="center"/>
            <w:hideMark/>
          </w:tcPr>
          <w:p w:rsidR="00B161AC" w:rsidRPr="00CD3820" w:rsidRDefault="00B161AC">
            <w:pPr>
              <w:rPr>
                <w:rFonts w:ascii="Calibri" w:hAnsi="Calibri"/>
                <w:sz w:val="22"/>
                <w:szCs w:val="22"/>
              </w:rPr>
            </w:pPr>
          </w:p>
        </w:tc>
        <w:tc>
          <w:tcPr>
            <w:tcW w:w="1504" w:type="dxa"/>
            <w:vMerge/>
            <w:tcBorders>
              <w:top w:val="single" w:sz="4" w:space="0" w:color="auto"/>
              <w:left w:val="single" w:sz="4" w:space="0" w:color="auto"/>
              <w:bottom w:val="single" w:sz="4" w:space="0" w:color="000000"/>
              <w:right w:val="single" w:sz="4" w:space="0" w:color="auto"/>
            </w:tcBorders>
            <w:tcMar>
              <w:left w:w="72" w:type="dxa"/>
              <w:right w:w="72" w:type="dxa"/>
            </w:tcMar>
            <w:vAlign w:val="center"/>
            <w:hideMark/>
          </w:tcPr>
          <w:p w:rsidR="00B161AC" w:rsidRPr="00CD3820" w:rsidRDefault="00B161AC">
            <w:pPr>
              <w:rPr>
                <w:rFonts w:ascii="Calibri" w:hAnsi="Calibri"/>
                <w:sz w:val="22"/>
                <w:szCs w:val="22"/>
              </w:rPr>
            </w:pPr>
          </w:p>
        </w:tc>
        <w:tc>
          <w:tcPr>
            <w:tcW w:w="1080" w:type="dxa"/>
            <w:vMerge w:val="restart"/>
            <w:tcBorders>
              <w:top w:val="nil"/>
              <w:left w:val="single" w:sz="4" w:space="0" w:color="auto"/>
              <w:bottom w:val="single" w:sz="4" w:space="0" w:color="000000"/>
              <w:right w:val="single" w:sz="4" w:space="0" w:color="auto"/>
            </w:tcBorders>
            <w:shd w:val="clear" w:color="auto" w:fill="auto"/>
            <w:tcMar>
              <w:left w:w="72" w:type="dxa"/>
              <w:right w:w="72" w:type="dxa"/>
            </w:tcMar>
            <w:vAlign w:val="center"/>
            <w:hideMark/>
          </w:tcPr>
          <w:p w:rsidR="00B161AC" w:rsidRPr="00CD3820" w:rsidRDefault="00B161AC">
            <w:pPr>
              <w:jc w:val="center"/>
              <w:rPr>
                <w:rFonts w:ascii="Calibri" w:hAnsi="Calibri"/>
                <w:sz w:val="22"/>
                <w:szCs w:val="22"/>
              </w:rPr>
            </w:pPr>
            <w:r w:rsidRPr="00CD3820">
              <w:rPr>
                <w:rFonts w:ascii="Calibri" w:hAnsi="Calibri"/>
                <w:sz w:val="22"/>
                <w:szCs w:val="22"/>
              </w:rPr>
              <w:t>Readily available</w:t>
            </w:r>
          </w:p>
        </w:tc>
        <w:tc>
          <w:tcPr>
            <w:tcW w:w="1080" w:type="dxa"/>
            <w:vMerge w:val="restart"/>
            <w:tcBorders>
              <w:top w:val="nil"/>
              <w:left w:val="single" w:sz="4" w:space="0" w:color="auto"/>
              <w:bottom w:val="single" w:sz="4" w:space="0" w:color="000000"/>
              <w:right w:val="single" w:sz="4" w:space="0" w:color="auto"/>
            </w:tcBorders>
            <w:shd w:val="clear" w:color="auto" w:fill="auto"/>
            <w:tcMar>
              <w:left w:w="72" w:type="dxa"/>
              <w:right w:w="72" w:type="dxa"/>
            </w:tcMar>
            <w:vAlign w:val="center"/>
            <w:hideMark/>
          </w:tcPr>
          <w:p w:rsidR="00B161AC" w:rsidRPr="00CD3820" w:rsidRDefault="00B161AC">
            <w:pPr>
              <w:jc w:val="center"/>
              <w:rPr>
                <w:rFonts w:ascii="Calibri" w:hAnsi="Calibri"/>
                <w:sz w:val="22"/>
                <w:szCs w:val="22"/>
              </w:rPr>
            </w:pPr>
            <w:r w:rsidRPr="00CD3820">
              <w:rPr>
                <w:rFonts w:ascii="Calibri" w:hAnsi="Calibri"/>
                <w:sz w:val="22"/>
                <w:szCs w:val="22"/>
              </w:rPr>
              <w:t>Available after little effort</w:t>
            </w:r>
          </w:p>
        </w:tc>
        <w:tc>
          <w:tcPr>
            <w:tcW w:w="1080" w:type="dxa"/>
            <w:vMerge w:val="restart"/>
            <w:tcBorders>
              <w:top w:val="nil"/>
              <w:left w:val="single" w:sz="4" w:space="0" w:color="auto"/>
              <w:bottom w:val="single" w:sz="4" w:space="0" w:color="000000"/>
              <w:right w:val="single" w:sz="4" w:space="0" w:color="auto"/>
            </w:tcBorders>
            <w:shd w:val="clear" w:color="auto" w:fill="auto"/>
            <w:tcMar>
              <w:left w:w="72" w:type="dxa"/>
              <w:right w:w="72" w:type="dxa"/>
            </w:tcMar>
            <w:vAlign w:val="center"/>
            <w:hideMark/>
          </w:tcPr>
          <w:p w:rsidR="00B161AC" w:rsidRPr="00CD3820" w:rsidRDefault="00B161AC">
            <w:pPr>
              <w:jc w:val="center"/>
              <w:rPr>
                <w:rFonts w:ascii="Calibri" w:hAnsi="Calibri"/>
                <w:sz w:val="22"/>
                <w:szCs w:val="22"/>
              </w:rPr>
            </w:pPr>
            <w:r w:rsidRPr="00CD3820">
              <w:rPr>
                <w:rFonts w:ascii="Calibri" w:hAnsi="Calibri"/>
                <w:sz w:val="22"/>
                <w:szCs w:val="22"/>
              </w:rPr>
              <w:t>Available after more effort</w:t>
            </w:r>
          </w:p>
        </w:tc>
        <w:tc>
          <w:tcPr>
            <w:tcW w:w="1170" w:type="dxa"/>
            <w:vMerge w:val="restart"/>
            <w:tcBorders>
              <w:top w:val="nil"/>
              <w:left w:val="single" w:sz="4" w:space="0" w:color="auto"/>
              <w:bottom w:val="single" w:sz="4" w:space="0" w:color="000000"/>
              <w:right w:val="single" w:sz="4" w:space="0" w:color="auto"/>
            </w:tcBorders>
            <w:shd w:val="clear" w:color="auto" w:fill="auto"/>
            <w:tcMar>
              <w:left w:w="72" w:type="dxa"/>
              <w:right w:w="72" w:type="dxa"/>
            </w:tcMar>
            <w:vAlign w:val="center"/>
            <w:hideMark/>
          </w:tcPr>
          <w:p w:rsidR="00B161AC" w:rsidRPr="00CD3820" w:rsidRDefault="00B161AC">
            <w:pPr>
              <w:jc w:val="center"/>
              <w:rPr>
                <w:rFonts w:ascii="Calibri" w:hAnsi="Calibri"/>
                <w:sz w:val="22"/>
                <w:szCs w:val="22"/>
              </w:rPr>
            </w:pPr>
            <w:r w:rsidRPr="00CD3820">
              <w:rPr>
                <w:rFonts w:ascii="Calibri" w:hAnsi="Calibri"/>
                <w:sz w:val="22"/>
                <w:szCs w:val="22"/>
              </w:rPr>
              <w:t>Available if data collection changed</w:t>
            </w:r>
          </w:p>
        </w:tc>
        <w:tc>
          <w:tcPr>
            <w:tcW w:w="1080" w:type="dxa"/>
            <w:vMerge w:val="restart"/>
            <w:tcBorders>
              <w:top w:val="nil"/>
              <w:left w:val="single" w:sz="4" w:space="0" w:color="auto"/>
              <w:bottom w:val="single" w:sz="4" w:space="0" w:color="000000"/>
              <w:right w:val="single" w:sz="4" w:space="0" w:color="auto"/>
            </w:tcBorders>
            <w:shd w:val="clear" w:color="auto" w:fill="auto"/>
            <w:tcMar>
              <w:left w:w="72" w:type="dxa"/>
              <w:right w:w="72" w:type="dxa"/>
            </w:tcMar>
            <w:vAlign w:val="center"/>
            <w:hideMark/>
          </w:tcPr>
          <w:p w:rsidR="00B161AC" w:rsidRPr="00CD3820" w:rsidRDefault="00B161AC">
            <w:pPr>
              <w:jc w:val="center"/>
              <w:rPr>
                <w:rFonts w:ascii="Calibri" w:hAnsi="Calibri"/>
                <w:sz w:val="22"/>
                <w:szCs w:val="22"/>
              </w:rPr>
            </w:pPr>
            <w:r w:rsidRPr="00CD3820">
              <w:rPr>
                <w:rFonts w:ascii="Calibri" w:hAnsi="Calibri"/>
                <w:sz w:val="22"/>
                <w:szCs w:val="22"/>
              </w:rPr>
              <w:t>From external institution</w:t>
            </w:r>
          </w:p>
        </w:tc>
        <w:tc>
          <w:tcPr>
            <w:tcW w:w="810" w:type="dxa"/>
            <w:vMerge w:val="restart"/>
            <w:tcBorders>
              <w:top w:val="nil"/>
              <w:left w:val="single" w:sz="4" w:space="0" w:color="auto"/>
              <w:bottom w:val="single" w:sz="4" w:space="0" w:color="000000"/>
              <w:right w:val="single" w:sz="4" w:space="0" w:color="auto"/>
            </w:tcBorders>
            <w:shd w:val="clear" w:color="auto" w:fill="auto"/>
            <w:tcMar>
              <w:left w:w="72" w:type="dxa"/>
              <w:right w:w="72" w:type="dxa"/>
            </w:tcMar>
            <w:vAlign w:val="center"/>
            <w:hideMark/>
          </w:tcPr>
          <w:p w:rsidR="00B161AC" w:rsidRPr="00CD3820" w:rsidRDefault="00B161AC">
            <w:pPr>
              <w:jc w:val="center"/>
              <w:rPr>
                <w:rFonts w:ascii="Calibri" w:hAnsi="Calibri"/>
                <w:sz w:val="22"/>
                <w:szCs w:val="22"/>
              </w:rPr>
            </w:pPr>
            <w:r w:rsidRPr="00CD3820">
              <w:rPr>
                <w:rFonts w:ascii="Calibri" w:hAnsi="Calibri"/>
                <w:sz w:val="22"/>
                <w:szCs w:val="22"/>
              </w:rPr>
              <w:t>Not clear / Don’t know</w:t>
            </w:r>
          </w:p>
        </w:tc>
        <w:tc>
          <w:tcPr>
            <w:tcW w:w="864" w:type="dxa"/>
            <w:vMerge w:val="restart"/>
            <w:tcBorders>
              <w:top w:val="nil"/>
              <w:left w:val="single" w:sz="4" w:space="0" w:color="auto"/>
              <w:bottom w:val="single" w:sz="4" w:space="0" w:color="000000"/>
              <w:right w:val="single" w:sz="4" w:space="0" w:color="auto"/>
            </w:tcBorders>
            <w:shd w:val="clear" w:color="auto" w:fill="auto"/>
            <w:tcMar>
              <w:left w:w="72" w:type="dxa"/>
              <w:right w:w="72" w:type="dxa"/>
            </w:tcMar>
            <w:vAlign w:val="center"/>
            <w:hideMark/>
          </w:tcPr>
          <w:p w:rsidR="00B161AC" w:rsidRPr="00CD3820" w:rsidRDefault="00B161AC">
            <w:pPr>
              <w:jc w:val="center"/>
              <w:rPr>
                <w:rFonts w:ascii="Calibri" w:hAnsi="Calibri"/>
                <w:sz w:val="22"/>
                <w:szCs w:val="22"/>
              </w:rPr>
            </w:pPr>
            <w:r w:rsidRPr="00CD3820">
              <w:rPr>
                <w:rFonts w:ascii="Calibri" w:hAnsi="Calibri"/>
                <w:sz w:val="22"/>
                <w:szCs w:val="22"/>
              </w:rPr>
              <w:t>Grey on standby</w:t>
            </w:r>
          </w:p>
        </w:tc>
      </w:tr>
      <w:tr w:rsidR="00CD3820" w:rsidRPr="00CD3820" w:rsidTr="00B161AC">
        <w:trPr>
          <w:trHeight w:val="1160"/>
        </w:trPr>
        <w:tc>
          <w:tcPr>
            <w:tcW w:w="651" w:type="dxa"/>
            <w:vMerge/>
            <w:tcBorders>
              <w:top w:val="single" w:sz="4" w:space="0" w:color="auto"/>
              <w:left w:val="single" w:sz="4" w:space="0" w:color="auto"/>
              <w:bottom w:val="single" w:sz="4" w:space="0" w:color="000000"/>
              <w:right w:val="single" w:sz="4" w:space="0" w:color="auto"/>
            </w:tcBorders>
            <w:tcMar>
              <w:left w:w="72" w:type="dxa"/>
              <w:right w:w="72" w:type="dxa"/>
            </w:tcMar>
            <w:vAlign w:val="center"/>
            <w:hideMark/>
          </w:tcPr>
          <w:p w:rsidR="00B161AC" w:rsidRPr="00CD3820" w:rsidRDefault="00B161AC">
            <w:pPr>
              <w:rPr>
                <w:rFonts w:ascii="Calibri" w:hAnsi="Calibri"/>
                <w:sz w:val="22"/>
                <w:szCs w:val="22"/>
              </w:rPr>
            </w:pPr>
          </w:p>
        </w:tc>
        <w:tc>
          <w:tcPr>
            <w:tcW w:w="1504" w:type="dxa"/>
            <w:vMerge/>
            <w:tcBorders>
              <w:top w:val="single" w:sz="4" w:space="0" w:color="auto"/>
              <w:left w:val="single" w:sz="4" w:space="0" w:color="auto"/>
              <w:bottom w:val="single" w:sz="4" w:space="0" w:color="000000"/>
              <w:right w:val="single" w:sz="4" w:space="0" w:color="auto"/>
            </w:tcBorders>
            <w:tcMar>
              <w:left w:w="72" w:type="dxa"/>
              <w:right w:w="72" w:type="dxa"/>
            </w:tcMar>
            <w:vAlign w:val="center"/>
            <w:hideMark/>
          </w:tcPr>
          <w:p w:rsidR="00B161AC" w:rsidRPr="00CD3820" w:rsidRDefault="00B161AC">
            <w:pPr>
              <w:rPr>
                <w:rFonts w:ascii="Calibri" w:hAnsi="Calibri"/>
                <w:sz w:val="22"/>
                <w:szCs w:val="22"/>
              </w:rPr>
            </w:pPr>
          </w:p>
        </w:tc>
        <w:tc>
          <w:tcPr>
            <w:tcW w:w="1080" w:type="dxa"/>
            <w:vMerge/>
            <w:tcBorders>
              <w:top w:val="nil"/>
              <w:left w:val="single" w:sz="4" w:space="0" w:color="auto"/>
              <w:bottom w:val="single" w:sz="4" w:space="0" w:color="000000"/>
              <w:right w:val="single" w:sz="4" w:space="0" w:color="auto"/>
            </w:tcBorders>
            <w:tcMar>
              <w:left w:w="72" w:type="dxa"/>
              <w:right w:w="72" w:type="dxa"/>
            </w:tcMar>
            <w:vAlign w:val="center"/>
            <w:hideMark/>
          </w:tcPr>
          <w:p w:rsidR="00B161AC" w:rsidRPr="00CD3820" w:rsidRDefault="00B161AC">
            <w:pPr>
              <w:rPr>
                <w:rFonts w:ascii="Calibri" w:hAnsi="Calibri"/>
                <w:sz w:val="22"/>
                <w:szCs w:val="22"/>
              </w:rPr>
            </w:pPr>
          </w:p>
        </w:tc>
        <w:tc>
          <w:tcPr>
            <w:tcW w:w="1080" w:type="dxa"/>
            <w:vMerge/>
            <w:tcBorders>
              <w:top w:val="nil"/>
              <w:left w:val="single" w:sz="4" w:space="0" w:color="auto"/>
              <w:bottom w:val="single" w:sz="4" w:space="0" w:color="000000"/>
              <w:right w:val="single" w:sz="4" w:space="0" w:color="auto"/>
            </w:tcBorders>
            <w:tcMar>
              <w:left w:w="72" w:type="dxa"/>
              <w:right w:w="72" w:type="dxa"/>
            </w:tcMar>
            <w:vAlign w:val="center"/>
            <w:hideMark/>
          </w:tcPr>
          <w:p w:rsidR="00B161AC" w:rsidRPr="00CD3820" w:rsidRDefault="00B161AC">
            <w:pPr>
              <w:rPr>
                <w:rFonts w:ascii="Calibri" w:hAnsi="Calibri"/>
                <w:sz w:val="22"/>
                <w:szCs w:val="22"/>
              </w:rPr>
            </w:pPr>
          </w:p>
        </w:tc>
        <w:tc>
          <w:tcPr>
            <w:tcW w:w="1080" w:type="dxa"/>
            <w:vMerge/>
            <w:tcBorders>
              <w:top w:val="nil"/>
              <w:left w:val="single" w:sz="4" w:space="0" w:color="auto"/>
              <w:bottom w:val="single" w:sz="4" w:space="0" w:color="000000"/>
              <w:right w:val="single" w:sz="4" w:space="0" w:color="auto"/>
            </w:tcBorders>
            <w:tcMar>
              <w:left w:w="72" w:type="dxa"/>
              <w:right w:w="72" w:type="dxa"/>
            </w:tcMar>
            <w:vAlign w:val="center"/>
            <w:hideMark/>
          </w:tcPr>
          <w:p w:rsidR="00B161AC" w:rsidRPr="00CD3820" w:rsidRDefault="00B161AC">
            <w:pPr>
              <w:rPr>
                <w:rFonts w:ascii="Calibri" w:hAnsi="Calibri"/>
                <w:sz w:val="22"/>
                <w:szCs w:val="22"/>
              </w:rPr>
            </w:pPr>
          </w:p>
        </w:tc>
        <w:tc>
          <w:tcPr>
            <w:tcW w:w="1170" w:type="dxa"/>
            <w:vMerge/>
            <w:tcBorders>
              <w:top w:val="nil"/>
              <w:left w:val="single" w:sz="4" w:space="0" w:color="auto"/>
              <w:bottom w:val="single" w:sz="4" w:space="0" w:color="000000"/>
              <w:right w:val="single" w:sz="4" w:space="0" w:color="auto"/>
            </w:tcBorders>
            <w:tcMar>
              <w:left w:w="72" w:type="dxa"/>
              <w:right w:w="72" w:type="dxa"/>
            </w:tcMar>
            <w:vAlign w:val="center"/>
            <w:hideMark/>
          </w:tcPr>
          <w:p w:rsidR="00B161AC" w:rsidRPr="00CD3820" w:rsidRDefault="00B161AC">
            <w:pPr>
              <w:rPr>
                <w:rFonts w:ascii="Calibri" w:hAnsi="Calibri"/>
                <w:sz w:val="22"/>
                <w:szCs w:val="22"/>
              </w:rPr>
            </w:pPr>
          </w:p>
        </w:tc>
        <w:tc>
          <w:tcPr>
            <w:tcW w:w="1080" w:type="dxa"/>
            <w:vMerge/>
            <w:tcBorders>
              <w:top w:val="nil"/>
              <w:left w:val="single" w:sz="4" w:space="0" w:color="auto"/>
              <w:bottom w:val="single" w:sz="4" w:space="0" w:color="000000"/>
              <w:right w:val="single" w:sz="4" w:space="0" w:color="auto"/>
            </w:tcBorders>
            <w:tcMar>
              <w:left w:w="72" w:type="dxa"/>
              <w:right w:w="72" w:type="dxa"/>
            </w:tcMar>
            <w:vAlign w:val="center"/>
            <w:hideMark/>
          </w:tcPr>
          <w:p w:rsidR="00B161AC" w:rsidRPr="00CD3820" w:rsidRDefault="00B161AC">
            <w:pPr>
              <w:rPr>
                <w:rFonts w:ascii="Calibri" w:hAnsi="Calibri"/>
                <w:sz w:val="22"/>
                <w:szCs w:val="22"/>
              </w:rPr>
            </w:pPr>
          </w:p>
        </w:tc>
        <w:tc>
          <w:tcPr>
            <w:tcW w:w="810" w:type="dxa"/>
            <w:vMerge/>
            <w:tcBorders>
              <w:top w:val="nil"/>
              <w:left w:val="single" w:sz="4" w:space="0" w:color="auto"/>
              <w:bottom w:val="single" w:sz="4" w:space="0" w:color="000000"/>
              <w:right w:val="single" w:sz="4" w:space="0" w:color="auto"/>
            </w:tcBorders>
            <w:tcMar>
              <w:left w:w="72" w:type="dxa"/>
              <w:right w:w="72" w:type="dxa"/>
            </w:tcMar>
            <w:vAlign w:val="center"/>
            <w:hideMark/>
          </w:tcPr>
          <w:p w:rsidR="00B161AC" w:rsidRPr="00CD3820" w:rsidRDefault="00B161AC">
            <w:pPr>
              <w:rPr>
                <w:rFonts w:ascii="Calibri" w:hAnsi="Calibri"/>
                <w:sz w:val="22"/>
                <w:szCs w:val="22"/>
              </w:rPr>
            </w:pPr>
          </w:p>
        </w:tc>
        <w:tc>
          <w:tcPr>
            <w:tcW w:w="864" w:type="dxa"/>
            <w:vMerge/>
            <w:tcBorders>
              <w:top w:val="nil"/>
              <w:left w:val="single" w:sz="4" w:space="0" w:color="auto"/>
              <w:bottom w:val="single" w:sz="4" w:space="0" w:color="000000"/>
              <w:right w:val="single" w:sz="4" w:space="0" w:color="auto"/>
            </w:tcBorders>
            <w:tcMar>
              <w:left w:w="72" w:type="dxa"/>
              <w:right w:w="72" w:type="dxa"/>
            </w:tcMar>
            <w:vAlign w:val="center"/>
            <w:hideMark/>
          </w:tcPr>
          <w:p w:rsidR="00B161AC" w:rsidRPr="00CD3820" w:rsidRDefault="00B161AC">
            <w:pPr>
              <w:rPr>
                <w:rFonts w:ascii="Calibri" w:hAnsi="Calibri"/>
                <w:sz w:val="22"/>
                <w:szCs w:val="22"/>
              </w:rPr>
            </w:pPr>
          </w:p>
        </w:tc>
      </w:tr>
      <w:tr w:rsidR="00CD3820" w:rsidRPr="00CD3820" w:rsidTr="00B161AC">
        <w:trPr>
          <w:trHeight w:val="288"/>
        </w:trPr>
        <w:tc>
          <w:tcPr>
            <w:tcW w:w="65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sz w:val="22"/>
                <w:szCs w:val="22"/>
              </w:rPr>
            </w:pPr>
            <w:r w:rsidRPr="00CD3820">
              <w:rPr>
                <w:rFonts w:ascii="Calibri" w:hAnsi="Calibri"/>
                <w:sz w:val="22"/>
                <w:szCs w:val="22"/>
              </w:rPr>
              <w:t>1</w:t>
            </w:r>
          </w:p>
        </w:tc>
        <w:tc>
          <w:tcPr>
            <w:tcW w:w="1504"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rPr>
                <w:rFonts w:ascii="Calibri" w:hAnsi="Calibri"/>
                <w:sz w:val="22"/>
                <w:szCs w:val="22"/>
              </w:rPr>
            </w:pPr>
            <w:r w:rsidRPr="00CD3820">
              <w:rPr>
                <w:rFonts w:ascii="Calibri" w:hAnsi="Calibri"/>
                <w:sz w:val="22"/>
                <w:szCs w:val="22"/>
              </w:rPr>
              <w:t>Poverty</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3</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20</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1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6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2</w:t>
            </w:r>
          </w:p>
        </w:tc>
      </w:tr>
      <w:tr w:rsidR="00CD3820" w:rsidRPr="00CD3820" w:rsidTr="00B161AC">
        <w:trPr>
          <w:trHeight w:val="288"/>
        </w:trPr>
        <w:tc>
          <w:tcPr>
            <w:tcW w:w="65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sz w:val="22"/>
                <w:szCs w:val="22"/>
              </w:rPr>
            </w:pPr>
            <w:r w:rsidRPr="00CD3820">
              <w:rPr>
                <w:rFonts w:ascii="Calibri" w:hAnsi="Calibri"/>
                <w:sz w:val="22"/>
                <w:szCs w:val="22"/>
              </w:rPr>
              <w:t>2</w:t>
            </w:r>
          </w:p>
        </w:tc>
        <w:tc>
          <w:tcPr>
            <w:tcW w:w="1504"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rPr>
                <w:rFonts w:ascii="Calibri" w:hAnsi="Calibri"/>
                <w:sz w:val="22"/>
                <w:szCs w:val="22"/>
              </w:rPr>
            </w:pPr>
            <w:r w:rsidRPr="00CD3820">
              <w:rPr>
                <w:rFonts w:ascii="Calibri" w:hAnsi="Calibri"/>
                <w:sz w:val="22"/>
                <w:szCs w:val="22"/>
              </w:rPr>
              <w:t>Hunger</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3</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3</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2</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81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3</w:t>
            </w:r>
          </w:p>
        </w:tc>
        <w:tc>
          <w:tcPr>
            <w:tcW w:w="86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3</w:t>
            </w:r>
          </w:p>
        </w:tc>
      </w:tr>
      <w:tr w:rsidR="00CD3820" w:rsidRPr="00CD3820" w:rsidTr="00B161AC">
        <w:trPr>
          <w:trHeight w:val="288"/>
        </w:trPr>
        <w:tc>
          <w:tcPr>
            <w:tcW w:w="65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sz w:val="22"/>
                <w:szCs w:val="22"/>
              </w:rPr>
            </w:pPr>
            <w:r w:rsidRPr="00CD3820">
              <w:rPr>
                <w:rFonts w:ascii="Calibri" w:hAnsi="Calibri"/>
                <w:sz w:val="22"/>
                <w:szCs w:val="22"/>
              </w:rPr>
              <w:t>3</w:t>
            </w:r>
          </w:p>
        </w:tc>
        <w:tc>
          <w:tcPr>
            <w:tcW w:w="1504"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rPr>
                <w:rFonts w:ascii="Calibri" w:hAnsi="Calibri"/>
                <w:sz w:val="22"/>
                <w:szCs w:val="22"/>
              </w:rPr>
            </w:pPr>
            <w:r w:rsidRPr="00CD3820">
              <w:rPr>
                <w:rFonts w:ascii="Calibri" w:hAnsi="Calibri"/>
                <w:sz w:val="22"/>
                <w:szCs w:val="22"/>
              </w:rPr>
              <w:t>Health</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10</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9</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81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2</w:t>
            </w:r>
          </w:p>
        </w:tc>
        <w:tc>
          <w:tcPr>
            <w:tcW w:w="86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3</w:t>
            </w:r>
          </w:p>
        </w:tc>
      </w:tr>
      <w:tr w:rsidR="00CD3820" w:rsidRPr="00CD3820" w:rsidTr="00B161AC">
        <w:trPr>
          <w:trHeight w:val="288"/>
        </w:trPr>
        <w:tc>
          <w:tcPr>
            <w:tcW w:w="65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sz w:val="22"/>
                <w:szCs w:val="22"/>
              </w:rPr>
            </w:pPr>
            <w:r w:rsidRPr="00CD3820">
              <w:rPr>
                <w:rFonts w:ascii="Calibri" w:hAnsi="Calibri"/>
                <w:sz w:val="22"/>
                <w:szCs w:val="22"/>
              </w:rPr>
              <w:t>4</w:t>
            </w:r>
          </w:p>
        </w:tc>
        <w:tc>
          <w:tcPr>
            <w:tcW w:w="1504"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rPr>
                <w:rFonts w:ascii="Calibri" w:hAnsi="Calibri"/>
                <w:sz w:val="22"/>
                <w:szCs w:val="22"/>
              </w:rPr>
            </w:pPr>
            <w:r w:rsidRPr="00CD3820">
              <w:rPr>
                <w:rFonts w:ascii="Calibri" w:hAnsi="Calibri"/>
                <w:sz w:val="22"/>
                <w:szCs w:val="22"/>
              </w:rPr>
              <w:t xml:space="preserve">Education </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4</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6</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3</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1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6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r>
      <w:tr w:rsidR="00CD3820" w:rsidRPr="00CD3820" w:rsidTr="00B161AC">
        <w:trPr>
          <w:trHeight w:val="288"/>
        </w:trPr>
        <w:tc>
          <w:tcPr>
            <w:tcW w:w="65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sz w:val="22"/>
                <w:szCs w:val="22"/>
              </w:rPr>
            </w:pPr>
            <w:r w:rsidRPr="00CD3820">
              <w:rPr>
                <w:rFonts w:ascii="Calibri" w:hAnsi="Calibri"/>
                <w:sz w:val="22"/>
                <w:szCs w:val="22"/>
              </w:rPr>
              <w:t>5</w:t>
            </w:r>
          </w:p>
        </w:tc>
        <w:tc>
          <w:tcPr>
            <w:tcW w:w="1504"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rPr>
                <w:rFonts w:ascii="Calibri" w:hAnsi="Calibri"/>
                <w:sz w:val="22"/>
                <w:szCs w:val="22"/>
              </w:rPr>
            </w:pPr>
            <w:r w:rsidRPr="00CD3820">
              <w:rPr>
                <w:rFonts w:ascii="Calibri" w:hAnsi="Calibri"/>
                <w:sz w:val="22"/>
                <w:szCs w:val="22"/>
              </w:rPr>
              <w:t>Gender</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4</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6</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6</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1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6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r>
      <w:tr w:rsidR="00CD3820" w:rsidRPr="00CD3820" w:rsidTr="00B161AC">
        <w:trPr>
          <w:trHeight w:val="288"/>
        </w:trPr>
        <w:tc>
          <w:tcPr>
            <w:tcW w:w="65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sz w:val="22"/>
                <w:szCs w:val="22"/>
              </w:rPr>
            </w:pPr>
            <w:r w:rsidRPr="00CD3820">
              <w:rPr>
                <w:rFonts w:ascii="Calibri" w:hAnsi="Calibri"/>
                <w:sz w:val="22"/>
                <w:szCs w:val="22"/>
              </w:rPr>
              <w:t>6</w:t>
            </w:r>
          </w:p>
        </w:tc>
        <w:tc>
          <w:tcPr>
            <w:tcW w:w="1504"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rPr>
                <w:rFonts w:ascii="Calibri" w:hAnsi="Calibri"/>
                <w:sz w:val="22"/>
                <w:szCs w:val="22"/>
              </w:rPr>
            </w:pPr>
            <w:r w:rsidRPr="00CD3820">
              <w:rPr>
                <w:rFonts w:ascii="Calibri" w:hAnsi="Calibri"/>
                <w:sz w:val="22"/>
                <w:szCs w:val="22"/>
              </w:rPr>
              <w:t>Water</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8</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1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6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r>
      <w:tr w:rsidR="00CD3820" w:rsidRPr="00CD3820" w:rsidTr="00B161AC">
        <w:trPr>
          <w:trHeight w:val="288"/>
        </w:trPr>
        <w:tc>
          <w:tcPr>
            <w:tcW w:w="65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sz w:val="22"/>
                <w:szCs w:val="22"/>
              </w:rPr>
            </w:pPr>
            <w:r w:rsidRPr="00CD3820">
              <w:rPr>
                <w:rFonts w:ascii="Calibri" w:hAnsi="Calibri"/>
                <w:sz w:val="22"/>
                <w:szCs w:val="22"/>
              </w:rPr>
              <w:t>7</w:t>
            </w:r>
          </w:p>
        </w:tc>
        <w:tc>
          <w:tcPr>
            <w:tcW w:w="1504"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rPr>
                <w:rFonts w:ascii="Calibri" w:hAnsi="Calibri"/>
                <w:sz w:val="22"/>
                <w:szCs w:val="22"/>
              </w:rPr>
            </w:pPr>
            <w:r w:rsidRPr="00CD3820">
              <w:rPr>
                <w:rFonts w:ascii="Calibri" w:hAnsi="Calibri"/>
                <w:sz w:val="22"/>
                <w:szCs w:val="22"/>
              </w:rPr>
              <w:t>Energy</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4</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1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86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r>
      <w:tr w:rsidR="00CD3820" w:rsidRPr="00CD3820" w:rsidTr="00B161AC">
        <w:trPr>
          <w:trHeight w:val="288"/>
        </w:trPr>
        <w:tc>
          <w:tcPr>
            <w:tcW w:w="65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sz w:val="22"/>
                <w:szCs w:val="22"/>
              </w:rPr>
            </w:pPr>
            <w:r w:rsidRPr="00CD3820">
              <w:rPr>
                <w:rFonts w:ascii="Calibri" w:hAnsi="Calibri"/>
                <w:sz w:val="22"/>
                <w:szCs w:val="22"/>
              </w:rPr>
              <w:t>8</w:t>
            </w:r>
          </w:p>
        </w:tc>
        <w:tc>
          <w:tcPr>
            <w:tcW w:w="1504"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rPr>
                <w:rFonts w:ascii="Calibri" w:hAnsi="Calibri"/>
                <w:sz w:val="22"/>
                <w:szCs w:val="22"/>
              </w:rPr>
            </w:pPr>
            <w:r w:rsidRPr="00CD3820">
              <w:rPr>
                <w:rFonts w:ascii="Calibri" w:hAnsi="Calibri"/>
                <w:sz w:val="22"/>
                <w:szCs w:val="22"/>
              </w:rPr>
              <w:t>Economic</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3</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7</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1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86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3</w:t>
            </w:r>
          </w:p>
        </w:tc>
      </w:tr>
      <w:tr w:rsidR="00CD3820" w:rsidRPr="00CD3820" w:rsidTr="00B161AC">
        <w:trPr>
          <w:trHeight w:val="288"/>
        </w:trPr>
        <w:tc>
          <w:tcPr>
            <w:tcW w:w="65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sz w:val="22"/>
                <w:szCs w:val="22"/>
              </w:rPr>
            </w:pPr>
            <w:r w:rsidRPr="00CD3820">
              <w:rPr>
                <w:rFonts w:ascii="Calibri" w:hAnsi="Calibri"/>
                <w:sz w:val="22"/>
                <w:szCs w:val="22"/>
              </w:rPr>
              <w:t>9</w:t>
            </w:r>
          </w:p>
        </w:tc>
        <w:tc>
          <w:tcPr>
            <w:tcW w:w="1504"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rPr>
                <w:rFonts w:ascii="Calibri" w:hAnsi="Calibri"/>
                <w:sz w:val="22"/>
                <w:szCs w:val="22"/>
              </w:rPr>
            </w:pPr>
            <w:r w:rsidRPr="00CD3820">
              <w:rPr>
                <w:rFonts w:ascii="Calibri" w:hAnsi="Calibri"/>
                <w:sz w:val="22"/>
                <w:szCs w:val="22"/>
              </w:rPr>
              <w:t>Infrastructure</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4</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4</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3</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1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86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r>
      <w:tr w:rsidR="00CD3820" w:rsidRPr="00CD3820" w:rsidTr="00B161AC">
        <w:trPr>
          <w:trHeight w:val="288"/>
        </w:trPr>
        <w:tc>
          <w:tcPr>
            <w:tcW w:w="65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sz w:val="22"/>
                <w:szCs w:val="22"/>
              </w:rPr>
            </w:pPr>
            <w:r w:rsidRPr="00CD3820">
              <w:rPr>
                <w:rFonts w:ascii="Calibri" w:hAnsi="Calibri"/>
                <w:sz w:val="22"/>
                <w:szCs w:val="22"/>
              </w:rPr>
              <w:t>10</w:t>
            </w:r>
          </w:p>
        </w:tc>
        <w:tc>
          <w:tcPr>
            <w:tcW w:w="1504"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rPr>
                <w:rFonts w:ascii="Calibri" w:hAnsi="Calibri"/>
                <w:sz w:val="22"/>
                <w:szCs w:val="22"/>
              </w:rPr>
            </w:pPr>
            <w:r w:rsidRPr="00CD3820">
              <w:rPr>
                <w:rFonts w:ascii="Calibri" w:hAnsi="Calibri"/>
                <w:sz w:val="22"/>
                <w:szCs w:val="22"/>
              </w:rPr>
              <w:t>Inequality</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2</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1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3</w:t>
            </w:r>
          </w:p>
        </w:tc>
        <w:tc>
          <w:tcPr>
            <w:tcW w:w="86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4</w:t>
            </w:r>
          </w:p>
        </w:tc>
      </w:tr>
      <w:tr w:rsidR="00CD3820" w:rsidRPr="00CD3820" w:rsidTr="00B161AC">
        <w:trPr>
          <w:trHeight w:val="288"/>
        </w:trPr>
        <w:tc>
          <w:tcPr>
            <w:tcW w:w="65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sz w:val="22"/>
                <w:szCs w:val="22"/>
              </w:rPr>
            </w:pPr>
            <w:r w:rsidRPr="00CD3820">
              <w:rPr>
                <w:rFonts w:ascii="Calibri" w:hAnsi="Calibri"/>
                <w:sz w:val="22"/>
                <w:szCs w:val="22"/>
              </w:rPr>
              <w:t>11</w:t>
            </w:r>
          </w:p>
        </w:tc>
        <w:tc>
          <w:tcPr>
            <w:tcW w:w="1504"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rPr>
                <w:rFonts w:ascii="Calibri" w:hAnsi="Calibri"/>
                <w:sz w:val="22"/>
                <w:szCs w:val="22"/>
              </w:rPr>
            </w:pPr>
            <w:r w:rsidRPr="00CD3820">
              <w:rPr>
                <w:rFonts w:ascii="Calibri" w:hAnsi="Calibri"/>
                <w:sz w:val="22"/>
                <w:szCs w:val="22"/>
              </w:rPr>
              <w:t>Urban</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7</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3</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6</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1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2</w:t>
            </w:r>
          </w:p>
        </w:tc>
        <w:tc>
          <w:tcPr>
            <w:tcW w:w="86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r>
      <w:tr w:rsidR="00CD3820" w:rsidRPr="00CD3820" w:rsidTr="00B161AC">
        <w:trPr>
          <w:trHeight w:val="288"/>
        </w:trPr>
        <w:tc>
          <w:tcPr>
            <w:tcW w:w="65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sz w:val="22"/>
                <w:szCs w:val="22"/>
              </w:rPr>
            </w:pPr>
            <w:r w:rsidRPr="00CD3820">
              <w:rPr>
                <w:rFonts w:ascii="Calibri" w:hAnsi="Calibri"/>
                <w:sz w:val="22"/>
                <w:szCs w:val="22"/>
              </w:rPr>
              <w:t>12</w:t>
            </w:r>
          </w:p>
        </w:tc>
        <w:tc>
          <w:tcPr>
            <w:tcW w:w="1504"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rPr>
                <w:rFonts w:ascii="Calibri" w:hAnsi="Calibri"/>
                <w:sz w:val="22"/>
                <w:szCs w:val="22"/>
              </w:rPr>
            </w:pPr>
            <w:r w:rsidRPr="00CD3820">
              <w:rPr>
                <w:rFonts w:ascii="Calibri" w:hAnsi="Calibri"/>
                <w:sz w:val="22"/>
                <w:szCs w:val="22"/>
              </w:rPr>
              <w:t>Consumption</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81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5</w:t>
            </w:r>
          </w:p>
        </w:tc>
        <w:tc>
          <w:tcPr>
            <w:tcW w:w="86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4</w:t>
            </w:r>
          </w:p>
        </w:tc>
      </w:tr>
      <w:tr w:rsidR="00CD3820" w:rsidRPr="00CD3820" w:rsidTr="00B161AC">
        <w:trPr>
          <w:trHeight w:val="288"/>
        </w:trPr>
        <w:tc>
          <w:tcPr>
            <w:tcW w:w="65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sz w:val="22"/>
                <w:szCs w:val="22"/>
              </w:rPr>
            </w:pPr>
            <w:r w:rsidRPr="00CD3820">
              <w:rPr>
                <w:rFonts w:ascii="Calibri" w:hAnsi="Calibri"/>
                <w:sz w:val="22"/>
                <w:szCs w:val="22"/>
              </w:rPr>
              <w:t>13</w:t>
            </w:r>
          </w:p>
        </w:tc>
        <w:tc>
          <w:tcPr>
            <w:tcW w:w="1504"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rPr>
                <w:rFonts w:ascii="Calibri" w:hAnsi="Calibri"/>
                <w:sz w:val="22"/>
                <w:szCs w:val="22"/>
              </w:rPr>
            </w:pPr>
            <w:r w:rsidRPr="00CD3820">
              <w:rPr>
                <w:rFonts w:ascii="Calibri" w:hAnsi="Calibri"/>
                <w:sz w:val="22"/>
                <w:szCs w:val="22"/>
              </w:rPr>
              <w:t>Climate</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3</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3</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1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6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r>
      <w:tr w:rsidR="00CD3820" w:rsidRPr="00CD3820" w:rsidTr="00B161AC">
        <w:trPr>
          <w:trHeight w:val="288"/>
        </w:trPr>
        <w:tc>
          <w:tcPr>
            <w:tcW w:w="65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sz w:val="22"/>
                <w:szCs w:val="22"/>
              </w:rPr>
            </w:pPr>
            <w:r w:rsidRPr="00CD3820">
              <w:rPr>
                <w:rFonts w:ascii="Calibri" w:hAnsi="Calibri"/>
                <w:sz w:val="22"/>
                <w:szCs w:val="22"/>
              </w:rPr>
              <w:t>14</w:t>
            </w:r>
          </w:p>
        </w:tc>
        <w:tc>
          <w:tcPr>
            <w:tcW w:w="1504"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rPr>
                <w:rFonts w:ascii="Calibri" w:hAnsi="Calibri"/>
                <w:sz w:val="22"/>
                <w:szCs w:val="22"/>
              </w:rPr>
            </w:pPr>
            <w:r w:rsidRPr="00CD3820">
              <w:rPr>
                <w:rFonts w:ascii="Calibri" w:hAnsi="Calibri"/>
                <w:sz w:val="22"/>
                <w:szCs w:val="22"/>
              </w:rPr>
              <w:t>Ocean</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1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6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r>
      <w:tr w:rsidR="00CD3820" w:rsidRPr="00CD3820" w:rsidTr="00B161AC">
        <w:trPr>
          <w:trHeight w:val="288"/>
        </w:trPr>
        <w:tc>
          <w:tcPr>
            <w:tcW w:w="65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sz w:val="22"/>
                <w:szCs w:val="22"/>
              </w:rPr>
            </w:pPr>
            <w:r w:rsidRPr="00CD3820">
              <w:rPr>
                <w:rFonts w:ascii="Calibri" w:hAnsi="Calibri"/>
                <w:sz w:val="22"/>
                <w:szCs w:val="22"/>
              </w:rPr>
              <w:t>15</w:t>
            </w:r>
          </w:p>
        </w:tc>
        <w:tc>
          <w:tcPr>
            <w:tcW w:w="1504"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rPr>
                <w:rFonts w:ascii="Calibri" w:hAnsi="Calibri"/>
                <w:sz w:val="22"/>
                <w:szCs w:val="22"/>
              </w:rPr>
            </w:pPr>
            <w:r w:rsidRPr="00CD3820">
              <w:rPr>
                <w:rFonts w:ascii="Calibri" w:hAnsi="Calibri"/>
                <w:sz w:val="22"/>
                <w:szCs w:val="22"/>
              </w:rPr>
              <w:t>Forest</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18</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1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6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r>
      <w:tr w:rsidR="00CD3820" w:rsidRPr="00CD3820" w:rsidTr="00B161AC">
        <w:trPr>
          <w:trHeight w:val="288"/>
        </w:trPr>
        <w:tc>
          <w:tcPr>
            <w:tcW w:w="65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sz w:val="22"/>
                <w:szCs w:val="22"/>
              </w:rPr>
            </w:pPr>
            <w:r w:rsidRPr="00CD3820">
              <w:rPr>
                <w:rFonts w:ascii="Calibri" w:hAnsi="Calibri"/>
                <w:sz w:val="22"/>
                <w:szCs w:val="22"/>
              </w:rPr>
              <w:t>16</w:t>
            </w:r>
          </w:p>
        </w:tc>
        <w:tc>
          <w:tcPr>
            <w:tcW w:w="1504"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rPr>
                <w:rFonts w:ascii="Calibri" w:hAnsi="Calibri"/>
                <w:sz w:val="22"/>
                <w:szCs w:val="22"/>
              </w:rPr>
            </w:pPr>
            <w:r w:rsidRPr="00CD3820">
              <w:rPr>
                <w:rFonts w:ascii="Calibri" w:hAnsi="Calibri"/>
                <w:sz w:val="22"/>
                <w:szCs w:val="22"/>
              </w:rPr>
              <w:t>Justice</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18</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c>
          <w:tcPr>
            <w:tcW w:w="81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86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r>
      <w:tr w:rsidR="00CD3820" w:rsidRPr="00CD3820" w:rsidTr="00B161AC">
        <w:trPr>
          <w:trHeight w:val="288"/>
        </w:trPr>
        <w:tc>
          <w:tcPr>
            <w:tcW w:w="651"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sz w:val="22"/>
                <w:szCs w:val="22"/>
              </w:rPr>
            </w:pPr>
            <w:r w:rsidRPr="00CD3820">
              <w:rPr>
                <w:rFonts w:ascii="Calibri" w:hAnsi="Calibri"/>
                <w:sz w:val="22"/>
                <w:szCs w:val="22"/>
              </w:rPr>
              <w:t>17</w:t>
            </w:r>
          </w:p>
        </w:tc>
        <w:tc>
          <w:tcPr>
            <w:tcW w:w="1504"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rPr>
                <w:rFonts w:ascii="Calibri" w:hAnsi="Calibri"/>
                <w:sz w:val="22"/>
                <w:szCs w:val="22"/>
              </w:rPr>
            </w:pPr>
            <w:r w:rsidRPr="00CD3820">
              <w:rPr>
                <w:rFonts w:ascii="Calibri" w:hAnsi="Calibri"/>
                <w:sz w:val="22"/>
                <w:szCs w:val="22"/>
              </w:rPr>
              <w:t>Global Dev.</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4</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4</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6</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2</w:t>
            </w:r>
          </w:p>
        </w:tc>
        <w:tc>
          <w:tcPr>
            <w:tcW w:w="810"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2</w:t>
            </w:r>
          </w:p>
        </w:tc>
        <w:tc>
          <w:tcPr>
            <w:tcW w:w="86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B161AC" w:rsidRPr="00CD3820" w:rsidRDefault="00B161AC">
            <w:pPr>
              <w:jc w:val="center"/>
              <w:rPr>
                <w:rFonts w:ascii="Arial" w:hAnsi="Arial" w:cs="Arial"/>
                <w:sz w:val="22"/>
                <w:szCs w:val="22"/>
              </w:rPr>
            </w:pPr>
            <w:r w:rsidRPr="00CD3820">
              <w:rPr>
                <w:rFonts w:ascii="Arial" w:hAnsi="Arial" w:cs="Arial"/>
                <w:sz w:val="22"/>
                <w:szCs w:val="22"/>
              </w:rPr>
              <w:t>0</w:t>
            </w:r>
          </w:p>
        </w:tc>
      </w:tr>
      <w:tr w:rsidR="00CD3820" w:rsidRPr="00CD3820" w:rsidTr="00B161AC">
        <w:trPr>
          <w:trHeight w:val="288"/>
        </w:trPr>
        <w:tc>
          <w:tcPr>
            <w:tcW w:w="2155" w:type="dxa"/>
            <w:gridSpan w:val="2"/>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B161AC" w:rsidRPr="00CD3820" w:rsidRDefault="00B161AC">
            <w:pPr>
              <w:jc w:val="center"/>
              <w:rPr>
                <w:rFonts w:ascii="Calibri" w:hAnsi="Calibri"/>
                <w:b/>
                <w:bCs/>
                <w:sz w:val="22"/>
                <w:szCs w:val="22"/>
              </w:rPr>
            </w:pPr>
            <w:r w:rsidRPr="00CD3820">
              <w:rPr>
                <w:rFonts w:ascii="Calibri" w:hAnsi="Calibri"/>
                <w:b/>
                <w:bCs/>
                <w:sz w:val="22"/>
                <w:szCs w:val="22"/>
              </w:rPr>
              <w:t>Total GSDG</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b/>
                <w:bCs/>
                <w:sz w:val="22"/>
                <w:szCs w:val="22"/>
              </w:rPr>
            </w:pPr>
            <w:r w:rsidRPr="00CD3820">
              <w:rPr>
                <w:rFonts w:ascii="Calibri" w:hAnsi="Calibri"/>
                <w:b/>
                <w:bCs/>
                <w:sz w:val="22"/>
                <w:szCs w:val="22"/>
              </w:rPr>
              <w:t>45</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b/>
                <w:bCs/>
                <w:sz w:val="22"/>
                <w:szCs w:val="22"/>
              </w:rPr>
            </w:pPr>
            <w:r w:rsidRPr="00CD3820">
              <w:rPr>
                <w:rFonts w:ascii="Calibri" w:hAnsi="Calibri"/>
                <w:b/>
                <w:bCs/>
                <w:sz w:val="22"/>
                <w:szCs w:val="22"/>
              </w:rPr>
              <w:t>64</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b/>
                <w:bCs/>
                <w:sz w:val="22"/>
                <w:szCs w:val="22"/>
              </w:rPr>
            </w:pPr>
            <w:r w:rsidRPr="00CD3820">
              <w:rPr>
                <w:rFonts w:ascii="Calibri" w:hAnsi="Calibri"/>
                <w:b/>
                <w:bCs/>
                <w:sz w:val="22"/>
                <w:szCs w:val="22"/>
              </w:rPr>
              <w:t>28</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b/>
                <w:bCs/>
                <w:sz w:val="22"/>
                <w:szCs w:val="22"/>
              </w:rPr>
            </w:pPr>
            <w:r w:rsidRPr="00CD3820">
              <w:rPr>
                <w:rFonts w:ascii="Calibri" w:hAnsi="Calibri"/>
                <w:b/>
                <w:bCs/>
                <w:sz w:val="22"/>
                <w:szCs w:val="22"/>
              </w:rPr>
              <w:t>72</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b/>
                <w:bCs/>
                <w:sz w:val="22"/>
                <w:szCs w:val="22"/>
              </w:rPr>
            </w:pPr>
            <w:r w:rsidRPr="00CD3820">
              <w:rPr>
                <w:rFonts w:ascii="Calibri" w:hAnsi="Calibri"/>
                <w:b/>
                <w:bCs/>
                <w:sz w:val="22"/>
                <w:szCs w:val="22"/>
              </w:rPr>
              <w:t>5</w:t>
            </w:r>
          </w:p>
        </w:tc>
        <w:tc>
          <w:tcPr>
            <w:tcW w:w="810"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b/>
                <w:bCs/>
                <w:sz w:val="22"/>
                <w:szCs w:val="22"/>
              </w:rPr>
            </w:pPr>
            <w:r w:rsidRPr="00CD3820">
              <w:rPr>
                <w:rFonts w:ascii="Calibri" w:hAnsi="Calibri"/>
                <w:b/>
                <w:bCs/>
                <w:sz w:val="22"/>
                <w:szCs w:val="22"/>
              </w:rPr>
              <w:t>21</w:t>
            </w:r>
          </w:p>
        </w:tc>
        <w:tc>
          <w:tcPr>
            <w:tcW w:w="864"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rsidR="00B161AC" w:rsidRPr="00CD3820" w:rsidRDefault="00B161AC">
            <w:pPr>
              <w:jc w:val="center"/>
              <w:rPr>
                <w:rFonts w:ascii="Calibri" w:hAnsi="Calibri"/>
                <w:b/>
                <w:bCs/>
                <w:sz w:val="22"/>
                <w:szCs w:val="22"/>
              </w:rPr>
            </w:pPr>
            <w:r w:rsidRPr="00CD3820">
              <w:rPr>
                <w:rFonts w:ascii="Calibri" w:hAnsi="Calibri"/>
                <w:b/>
                <w:bCs/>
                <w:sz w:val="22"/>
                <w:szCs w:val="22"/>
              </w:rPr>
              <w:t>22</w:t>
            </w:r>
          </w:p>
        </w:tc>
      </w:tr>
    </w:tbl>
    <w:p w:rsidR="007E3BD6" w:rsidRDefault="007E3BD6" w:rsidP="00020A8D">
      <w:pPr>
        <w:pStyle w:val="Heading1"/>
        <w:rPr>
          <w:color w:val="auto"/>
        </w:rPr>
      </w:pPr>
      <w:bookmarkStart w:id="3" w:name="_Toc438003093"/>
    </w:p>
    <w:p w:rsidR="00810077" w:rsidRPr="00CD3820" w:rsidRDefault="00020A8D" w:rsidP="00020A8D">
      <w:pPr>
        <w:pStyle w:val="Heading1"/>
        <w:rPr>
          <w:color w:val="auto"/>
        </w:rPr>
      </w:pPr>
      <w:r w:rsidRPr="00CD3820">
        <w:rPr>
          <w:color w:val="auto"/>
        </w:rPr>
        <w:t xml:space="preserve">4. </w:t>
      </w:r>
      <w:r w:rsidR="00810077" w:rsidRPr="00CD3820">
        <w:rPr>
          <w:color w:val="auto"/>
        </w:rPr>
        <w:t>Mongolian SDG Indicators</w:t>
      </w:r>
      <w:bookmarkEnd w:id="3"/>
    </w:p>
    <w:p w:rsidR="00810077" w:rsidRPr="00CD3820" w:rsidRDefault="00810077" w:rsidP="001B7D49">
      <w:pPr>
        <w:jc w:val="both"/>
      </w:pPr>
    </w:p>
    <w:p w:rsidR="00810077" w:rsidRPr="00CD3820" w:rsidRDefault="000F554D" w:rsidP="001B7D49">
      <w:pPr>
        <w:jc w:val="both"/>
      </w:pPr>
      <w:r w:rsidRPr="00CD3820">
        <w:t xml:space="preserve">As we said earlier, the IAEG-SDGs </w:t>
      </w:r>
      <w:proofErr w:type="gramStart"/>
      <w:r w:rsidRPr="00CD3820">
        <w:t>group encourage</w:t>
      </w:r>
      <w:proofErr w:type="gramEnd"/>
      <w:r w:rsidRPr="00CD3820">
        <w:t xml:space="preserve"> countries to localized their indicators by estimating country-specific indicators reflecting local context.  In the case of </w:t>
      </w:r>
      <w:r w:rsidR="009026BF" w:rsidRPr="00CD3820">
        <w:t>Mongolia,</w:t>
      </w:r>
      <w:r w:rsidRPr="00CD3820">
        <w:t xml:space="preserve"> we are proposing some 21 additional indicators.  Those indicators and their rational can be found in Annex 1.  With those proposed indicators, we now have 278 indicators although they are subject to revision after March 2016.</w:t>
      </w:r>
    </w:p>
    <w:p w:rsidR="000F554D" w:rsidRPr="00CD3820" w:rsidRDefault="000F554D" w:rsidP="001B7D49">
      <w:pPr>
        <w:jc w:val="both"/>
      </w:pPr>
    </w:p>
    <w:p w:rsidR="000F554D" w:rsidRPr="00CD3820" w:rsidRDefault="000F554D" w:rsidP="001B7D49">
      <w:pPr>
        <w:jc w:val="both"/>
      </w:pPr>
      <w:r w:rsidRPr="00CD3820">
        <w:t xml:space="preserve">It should be noted that those 21 localized indicators should be seen as proposal subject to changes in the coming months.  Furthermore, we strongly encourage the different Development Partners, Ministries and NSO to come up with comments on these 21 indicators as well to propose others. </w:t>
      </w:r>
    </w:p>
    <w:p w:rsidR="00810077" w:rsidRPr="00CD3820" w:rsidRDefault="00810077" w:rsidP="001B7D49">
      <w:pPr>
        <w:jc w:val="both"/>
      </w:pPr>
    </w:p>
    <w:p w:rsidR="00810077" w:rsidRPr="00CD3820" w:rsidRDefault="00810077" w:rsidP="001B7D49">
      <w:pPr>
        <w:jc w:val="both"/>
      </w:pPr>
    </w:p>
    <w:p w:rsidR="000F554D" w:rsidRPr="00CD3820" w:rsidRDefault="000F554D" w:rsidP="000F554D">
      <w:pPr>
        <w:jc w:val="both"/>
        <w:rPr>
          <w:b/>
        </w:rPr>
      </w:pPr>
      <w:proofErr w:type="spellStart"/>
      <w:r w:rsidRPr="00CD3820">
        <w:rPr>
          <w:b/>
        </w:rPr>
        <w:t>Soum</w:t>
      </w:r>
      <w:proofErr w:type="spellEnd"/>
      <w:r w:rsidRPr="00CD3820">
        <w:rPr>
          <w:b/>
        </w:rPr>
        <w:t xml:space="preserve"> Level indicators</w:t>
      </w:r>
    </w:p>
    <w:p w:rsidR="000F554D" w:rsidRPr="00CD3820" w:rsidRDefault="000F554D" w:rsidP="000F554D">
      <w:pPr>
        <w:jc w:val="both"/>
      </w:pPr>
    </w:p>
    <w:p w:rsidR="000F554D" w:rsidRPr="00CD3820" w:rsidRDefault="000F554D" w:rsidP="000F554D">
      <w:pPr>
        <w:jc w:val="both"/>
      </w:pPr>
      <w:r w:rsidRPr="00CD3820">
        <w:t xml:space="preserve">From some informal discussion with NSO managers we understand there is a willingness to collect as many indicators as possible as </w:t>
      </w:r>
      <w:proofErr w:type="spellStart"/>
      <w:r w:rsidRPr="00CD3820">
        <w:t>soum</w:t>
      </w:r>
      <w:proofErr w:type="spellEnd"/>
      <w:r w:rsidRPr="00CD3820">
        <w:t xml:space="preserve"> </w:t>
      </w:r>
      <w:proofErr w:type="gramStart"/>
      <w:r w:rsidRPr="00CD3820">
        <w:t>level,</w:t>
      </w:r>
      <w:proofErr w:type="gramEnd"/>
      <w:r w:rsidRPr="00CD3820">
        <w:t xml:space="preserve"> or at least at </w:t>
      </w:r>
      <w:proofErr w:type="spellStart"/>
      <w:r w:rsidRPr="00CD3820">
        <w:t>aimag</w:t>
      </w:r>
      <w:proofErr w:type="spellEnd"/>
      <w:r w:rsidRPr="00CD3820">
        <w:t xml:space="preserve"> level.  While computing statistically valid indicators at </w:t>
      </w:r>
      <w:proofErr w:type="spellStart"/>
      <w:r w:rsidRPr="00CD3820">
        <w:t>aimag</w:t>
      </w:r>
      <w:proofErr w:type="spellEnd"/>
      <w:r w:rsidRPr="00CD3820">
        <w:t xml:space="preserve"> level is possible from the HSES, SSIS or the LF surveys given their decent size sample, computing those indicators at </w:t>
      </w:r>
      <w:proofErr w:type="spellStart"/>
      <w:r w:rsidRPr="00CD3820">
        <w:t>soum</w:t>
      </w:r>
      <w:proofErr w:type="spellEnd"/>
      <w:r w:rsidRPr="00CD3820">
        <w:t xml:space="preserve"> level is probably more realistic is done within the census data collection.  We suggest that NSO along with its Development Partners defined more precisely the indicators that would be really useful to have at </w:t>
      </w:r>
      <w:proofErr w:type="spellStart"/>
      <w:r w:rsidRPr="00CD3820">
        <w:t>soum</w:t>
      </w:r>
      <w:proofErr w:type="spellEnd"/>
      <w:r w:rsidRPr="00CD3820">
        <w:t xml:space="preserve"> level. And then amend the census questionnaire in order to achieve those objectives.</w:t>
      </w:r>
    </w:p>
    <w:p w:rsidR="00D70556" w:rsidRPr="00CD3820" w:rsidRDefault="00D70556" w:rsidP="001B7D49">
      <w:pPr>
        <w:jc w:val="both"/>
      </w:pPr>
    </w:p>
    <w:p w:rsidR="001B7D49" w:rsidRPr="00CD3820" w:rsidRDefault="00020A8D" w:rsidP="00020A8D">
      <w:pPr>
        <w:pStyle w:val="Heading1"/>
        <w:rPr>
          <w:color w:val="auto"/>
        </w:rPr>
      </w:pPr>
      <w:bookmarkStart w:id="4" w:name="_Toc438003094"/>
      <w:r w:rsidRPr="00CD3820">
        <w:rPr>
          <w:color w:val="auto"/>
        </w:rPr>
        <w:t xml:space="preserve">5. </w:t>
      </w:r>
      <w:r w:rsidR="00B16E8C" w:rsidRPr="00CD3820">
        <w:rPr>
          <w:color w:val="auto"/>
        </w:rPr>
        <w:t>Proposed Next S</w:t>
      </w:r>
      <w:r w:rsidR="002067F8" w:rsidRPr="00CD3820">
        <w:rPr>
          <w:color w:val="auto"/>
        </w:rPr>
        <w:t>tages</w:t>
      </w:r>
      <w:bookmarkEnd w:id="4"/>
    </w:p>
    <w:p w:rsidR="001B7D49" w:rsidRPr="00CD3820" w:rsidRDefault="001B7D49" w:rsidP="001B7D49">
      <w:pPr>
        <w:jc w:val="both"/>
      </w:pPr>
    </w:p>
    <w:p w:rsidR="00B16E8C" w:rsidRPr="00CD3820" w:rsidRDefault="002067F8" w:rsidP="00B16E8C">
      <w:pPr>
        <w:jc w:val="both"/>
      </w:pPr>
      <w:r w:rsidRPr="00CD3820">
        <w:t xml:space="preserve">Although this initial analysis on the feasibility of computing the numerous SDG indicators has been particularly enlightening, it should be considered a first exploratory stage.  In </w:t>
      </w:r>
      <w:r w:rsidR="00B16E8C" w:rsidRPr="00CD3820">
        <w:t>particular,</w:t>
      </w:r>
      <w:r w:rsidRPr="00CD3820">
        <w:t xml:space="preserve"> we noted that an important proportion of the indicators proposed by the IAEG-SDG group is still to refined and then green coded, meaning a consensus has to be found among the group members.</w:t>
      </w:r>
      <w:r w:rsidR="00B16E8C" w:rsidRPr="00CD3820">
        <w:t xml:space="preserve"> </w:t>
      </w:r>
    </w:p>
    <w:p w:rsidR="00B16E8C" w:rsidRPr="00CD3820" w:rsidRDefault="00B16E8C" w:rsidP="00B16E8C">
      <w:pPr>
        <w:jc w:val="both"/>
      </w:pPr>
    </w:p>
    <w:p w:rsidR="00B16E8C" w:rsidRPr="00CD3820" w:rsidRDefault="00B16E8C" w:rsidP="00B16E8C">
      <w:pPr>
        <w:jc w:val="both"/>
      </w:pPr>
      <w:r w:rsidRPr="00CD3820">
        <w:t>In other words, the actual list of indicators is far from being definitive.  Officially no consensus yet has been achieved for 28% of global indicators, i.e. 63 out of 224 indicators were coded “grey”.  Even among the so-called consensual global indicators (the green ones) a few are still to be defined.</w:t>
      </w:r>
    </w:p>
    <w:p w:rsidR="009D131D" w:rsidRPr="00CD3820" w:rsidRDefault="009D131D" w:rsidP="001B7D49">
      <w:pPr>
        <w:jc w:val="both"/>
      </w:pPr>
    </w:p>
    <w:p w:rsidR="00B16E8C" w:rsidRPr="00CD3820" w:rsidRDefault="00B16E8C" w:rsidP="001B7D49">
      <w:pPr>
        <w:jc w:val="both"/>
        <w:rPr>
          <w:shd w:val="clear" w:color="auto" w:fill="FFFFFF"/>
        </w:rPr>
      </w:pPr>
      <w:r w:rsidRPr="00CD3820">
        <w:rPr>
          <w:shd w:val="clear" w:color="auto" w:fill="FFFFFF"/>
        </w:rPr>
        <w:t>A</w:t>
      </w:r>
      <w:r w:rsidR="009D131D" w:rsidRPr="00CD3820">
        <w:rPr>
          <w:shd w:val="clear" w:color="auto" w:fill="FFFFFF"/>
        </w:rPr>
        <w:t>n open consultation</w:t>
      </w:r>
      <w:r w:rsidRPr="00CD3820">
        <w:rPr>
          <w:shd w:val="clear" w:color="auto" w:fill="FFFFFF"/>
        </w:rPr>
        <w:t xml:space="preserve"> led by the IAEG-SDG group</w:t>
      </w:r>
      <w:r w:rsidR="009D131D" w:rsidRPr="00CD3820">
        <w:rPr>
          <w:shd w:val="clear" w:color="auto" w:fill="FFFFFF"/>
        </w:rPr>
        <w:t xml:space="preserve"> on the proposed SDG Indicators coded 'grey' </w:t>
      </w:r>
      <w:r w:rsidRPr="00CD3820">
        <w:rPr>
          <w:shd w:val="clear" w:color="auto" w:fill="FFFFFF"/>
        </w:rPr>
        <w:t>has just been completed (December 9-15).  It would hopefully solve many indicator issues although we believe the final list of indicators would not be ready before the final meeting next March.</w:t>
      </w:r>
    </w:p>
    <w:p w:rsidR="00B16E8C" w:rsidRPr="00CD3820" w:rsidRDefault="00B16E8C" w:rsidP="001B7D49">
      <w:pPr>
        <w:jc w:val="both"/>
        <w:rPr>
          <w:shd w:val="clear" w:color="auto" w:fill="FFFFFF"/>
        </w:rPr>
      </w:pPr>
    </w:p>
    <w:p w:rsidR="00EF0C34" w:rsidRPr="00CD3820" w:rsidRDefault="00EF0C34" w:rsidP="001B7D49">
      <w:pPr>
        <w:jc w:val="both"/>
        <w:rPr>
          <w:shd w:val="clear" w:color="auto" w:fill="FFFFFF"/>
        </w:rPr>
      </w:pPr>
      <w:r w:rsidRPr="00CD3820">
        <w:rPr>
          <w:shd w:val="clear" w:color="auto" w:fill="FFFFFF"/>
        </w:rPr>
        <w:t>More formally, we are proposing the following tasks for the coming months in order to complete an exhaustive feasibility study as well as putting those results in practice:</w:t>
      </w:r>
    </w:p>
    <w:p w:rsidR="00B16E8C" w:rsidRPr="00CD3820" w:rsidRDefault="00B16E8C" w:rsidP="001B7D49">
      <w:pPr>
        <w:jc w:val="both"/>
        <w:rPr>
          <w:shd w:val="clear" w:color="auto" w:fill="FFFFFF"/>
        </w:rPr>
      </w:pPr>
    </w:p>
    <w:p w:rsidR="00B16E8C" w:rsidRPr="00CD3820" w:rsidRDefault="00B16E8C" w:rsidP="00B16E8C">
      <w:pPr>
        <w:pStyle w:val="ListParagraph"/>
        <w:numPr>
          <w:ilvl w:val="0"/>
          <w:numId w:val="34"/>
        </w:numPr>
        <w:jc w:val="both"/>
      </w:pPr>
      <w:r w:rsidRPr="00CD3820">
        <w:t>Set up an institution or assign an institution which will be responsible for finalizing SDG indicator framework, monitoring and reporting against targets.  That institution needs to work in close collaboration with line ministries and agencies on updating this “preliminary” assessment</w:t>
      </w:r>
      <w:r w:rsidR="00F45483" w:rsidRPr="00CD3820">
        <w:t>;</w:t>
      </w:r>
    </w:p>
    <w:p w:rsidR="00B16E8C" w:rsidRPr="00CD3820" w:rsidRDefault="00B16E8C" w:rsidP="00B16E8C">
      <w:pPr>
        <w:numPr>
          <w:ilvl w:val="0"/>
          <w:numId w:val="34"/>
        </w:numPr>
        <w:jc w:val="both"/>
      </w:pPr>
      <w:r w:rsidRPr="00CD3820">
        <w:t xml:space="preserve">Revise the </w:t>
      </w:r>
      <w:r w:rsidR="00F45483" w:rsidRPr="00CD3820">
        <w:t xml:space="preserve">current </w:t>
      </w:r>
      <w:r w:rsidRPr="00CD3820">
        <w:t xml:space="preserve">assessment after March </w:t>
      </w:r>
      <w:r w:rsidR="00893FA5" w:rsidRPr="00CD3820">
        <w:t xml:space="preserve">2016 </w:t>
      </w:r>
      <w:r w:rsidRPr="00CD3820">
        <w:t>once the definite list of SDG indicators is approved by the UNSC</w:t>
      </w:r>
      <w:r w:rsidR="00F45483" w:rsidRPr="00CD3820">
        <w:t>;</w:t>
      </w:r>
    </w:p>
    <w:p w:rsidR="00F45483" w:rsidRPr="00CD3820" w:rsidRDefault="00B16E8C" w:rsidP="00F45483">
      <w:pPr>
        <w:numPr>
          <w:ilvl w:val="0"/>
          <w:numId w:val="34"/>
        </w:numPr>
        <w:jc w:val="both"/>
      </w:pPr>
      <w:r w:rsidRPr="00CD3820">
        <w:t>Develop methodological guidelines in three separate booklets: Social, economic and environment</w:t>
      </w:r>
      <w:r w:rsidR="00893FA5" w:rsidRPr="00CD3820">
        <w:t>.  Those guidelines would detail very precisely how each indicator was computed.  This is particularly important to ensure that the different indicators would still be computed the same way in 2030 as they were initially done in 2015.  Otherwise overtime comparison would be deceptive</w:t>
      </w:r>
      <w:r w:rsidR="00F45483" w:rsidRPr="00CD3820">
        <w:t>;</w:t>
      </w:r>
    </w:p>
    <w:p w:rsidR="00893FA5" w:rsidRPr="00CD3820" w:rsidRDefault="00F45483" w:rsidP="00F45483">
      <w:pPr>
        <w:numPr>
          <w:ilvl w:val="0"/>
          <w:numId w:val="34"/>
        </w:numPr>
        <w:jc w:val="both"/>
      </w:pPr>
      <w:r w:rsidRPr="00CD3820">
        <w:t>Define</w:t>
      </w:r>
      <w:r w:rsidR="00893FA5" w:rsidRPr="00CD3820">
        <w:t xml:space="preserve"> baseline (2015) figures for all indicators that can be computed in a timely manner (the first three categories in Table 3).  For the 72 indicators for which new data collection is needed, formal proposition </w:t>
      </w:r>
      <w:r w:rsidRPr="00CD3820">
        <w:t>would be made</w:t>
      </w:r>
      <w:r w:rsidR="00893FA5" w:rsidRPr="00CD3820">
        <w:t xml:space="preserve">; </w:t>
      </w:r>
    </w:p>
    <w:p w:rsidR="00F45483" w:rsidRPr="00CD3820" w:rsidRDefault="00F45483" w:rsidP="00F45483">
      <w:pPr>
        <w:numPr>
          <w:ilvl w:val="0"/>
          <w:numId w:val="34"/>
        </w:numPr>
        <w:jc w:val="both"/>
      </w:pPr>
      <w:r w:rsidRPr="00CD3820">
        <w:lastRenderedPageBreak/>
        <w:t>Carry out research studies to define realistic target for each indicator to be achieved by 2030;</w:t>
      </w:r>
    </w:p>
    <w:p w:rsidR="00F45483" w:rsidRPr="00CD3820" w:rsidRDefault="00F45483" w:rsidP="00F45483">
      <w:pPr>
        <w:pStyle w:val="ListParagraph"/>
        <w:numPr>
          <w:ilvl w:val="0"/>
          <w:numId w:val="34"/>
        </w:numPr>
        <w:jc w:val="both"/>
      </w:pPr>
      <w:r w:rsidRPr="00CD3820">
        <w:t>Provide training for the relevant ministries and NSO in computing SDG indicators now and for the future;</w:t>
      </w:r>
    </w:p>
    <w:p w:rsidR="00893FA5" w:rsidRPr="00CD3820" w:rsidRDefault="00893FA5" w:rsidP="00893FA5">
      <w:pPr>
        <w:pStyle w:val="ListParagraph"/>
        <w:numPr>
          <w:ilvl w:val="0"/>
          <w:numId w:val="34"/>
        </w:numPr>
        <w:jc w:val="both"/>
      </w:pPr>
      <w:r w:rsidRPr="00CD3820">
        <w:t>A Website where all the relevant information could be found, including all results at all levels, documentation etc</w:t>
      </w:r>
      <w:r w:rsidR="00F45483" w:rsidRPr="00CD3820">
        <w:t>. should be established</w:t>
      </w:r>
      <w:r w:rsidRPr="00CD3820">
        <w:t>.</w:t>
      </w:r>
    </w:p>
    <w:p w:rsidR="00F044E4" w:rsidRPr="00CD3820" w:rsidRDefault="00F044E4" w:rsidP="00F044E4">
      <w:pPr>
        <w:jc w:val="both"/>
      </w:pPr>
    </w:p>
    <w:p w:rsidR="00E07862" w:rsidRPr="00CD3820" w:rsidRDefault="00E07862" w:rsidP="00A92BA4">
      <w:pPr>
        <w:jc w:val="both"/>
        <w:sectPr w:rsidR="00E07862" w:rsidRPr="00CD3820" w:rsidSect="006F1477">
          <w:footerReference w:type="default" r:id="rId8"/>
          <w:pgSz w:w="11906" w:h="16838" w:code="9"/>
          <w:pgMar w:top="1440" w:right="1800" w:bottom="1440" w:left="1800" w:header="720" w:footer="720" w:gutter="0"/>
          <w:cols w:space="720"/>
          <w:docGrid w:linePitch="360"/>
        </w:sectPr>
      </w:pPr>
    </w:p>
    <w:p w:rsidR="00E07862" w:rsidRPr="00CD3820" w:rsidRDefault="00E07862" w:rsidP="00E07862">
      <w:pPr>
        <w:rPr>
          <w:b/>
          <w:sz w:val="28"/>
          <w:szCs w:val="28"/>
        </w:rPr>
      </w:pPr>
      <w:r w:rsidRPr="00CD3820">
        <w:rPr>
          <w:b/>
          <w:sz w:val="28"/>
          <w:szCs w:val="28"/>
        </w:rPr>
        <w:lastRenderedPageBreak/>
        <w:t>Annex 1: The list of proposed new indicators* that are specific to Mongolia and to be included in Mongolian SDG indicator framework</w:t>
      </w:r>
    </w:p>
    <w:tbl>
      <w:tblPr>
        <w:tblStyle w:val="TableGrid"/>
        <w:tblW w:w="0" w:type="auto"/>
        <w:tblLayout w:type="fixed"/>
        <w:tblLook w:val="04A0"/>
      </w:tblPr>
      <w:tblGrid>
        <w:gridCol w:w="558"/>
        <w:gridCol w:w="720"/>
        <w:gridCol w:w="1530"/>
        <w:gridCol w:w="4860"/>
        <w:gridCol w:w="6215"/>
      </w:tblGrid>
      <w:tr w:rsidR="00E07862" w:rsidRPr="00CD3820" w:rsidTr="00E07862">
        <w:tc>
          <w:tcPr>
            <w:tcW w:w="558" w:type="dxa"/>
          </w:tcPr>
          <w:p w:rsidR="00E07862" w:rsidRPr="00CD3820" w:rsidRDefault="00E07862" w:rsidP="00E07862">
            <w:pPr>
              <w:jc w:val="center"/>
              <w:rPr>
                <w:b/>
              </w:rPr>
            </w:pPr>
          </w:p>
          <w:p w:rsidR="00E07862" w:rsidRPr="00CD3820" w:rsidRDefault="00E07862" w:rsidP="00E07862">
            <w:pPr>
              <w:jc w:val="center"/>
              <w:rPr>
                <w:b/>
              </w:rPr>
            </w:pPr>
            <w:r w:rsidRPr="00CD3820">
              <w:rPr>
                <w:b/>
              </w:rPr>
              <w:t>#</w:t>
            </w:r>
          </w:p>
        </w:tc>
        <w:tc>
          <w:tcPr>
            <w:tcW w:w="720" w:type="dxa"/>
          </w:tcPr>
          <w:p w:rsidR="00E07862" w:rsidRPr="00CD3820" w:rsidRDefault="00E07862" w:rsidP="00E07862">
            <w:pPr>
              <w:jc w:val="center"/>
              <w:rPr>
                <w:b/>
              </w:rPr>
            </w:pPr>
            <w:r w:rsidRPr="00CD3820">
              <w:rPr>
                <w:b/>
              </w:rPr>
              <w:t>Goal code</w:t>
            </w:r>
          </w:p>
        </w:tc>
        <w:tc>
          <w:tcPr>
            <w:tcW w:w="1530" w:type="dxa"/>
          </w:tcPr>
          <w:p w:rsidR="00E07862" w:rsidRPr="00CD3820" w:rsidRDefault="00E07862" w:rsidP="00E07862">
            <w:pPr>
              <w:jc w:val="center"/>
              <w:rPr>
                <w:b/>
              </w:rPr>
            </w:pPr>
            <w:r w:rsidRPr="00CD3820">
              <w:rPr>
                <w:b/>
              </w:rPr>
              <w:t>Goal name</w:t>
            </w:r>
          </w:p>
        </w:tc>
        <w:tc>
          <w:tcPr>
            <w:tcW w:w="4860" w:type="dxa"/>
          </w:tcPr>
          <w:p w:rsidR="00E07862" w:rsidRPr="00CD3820" w:rsidRDefault="00E07862" w:rsidP="00E07862">
            <w:pPr>
              <w:jc w:val="center"/>
              <w:rPr>
                <w:b/>
              </w:rPr>
            </w:pPr>
            <w:r w:rsidRPr="00CD3820">
              <w:rPr>
                <w:b/>
              </w:rPr>
              <w:t>Indicator name</w:t>
            </w:r>
          </w:p>
        </w:tc>
        <w:tc>
          <w:tcPr>
            <w:tcW w:w="6215" w:type="dxa"/>
          </w:tcPr>
          <w:p w:rsidR="00E07862" w:rsidRPr="00CD3820" w:rsidRDefault="00E07862" w:rsidP="00E07862">
            <w:pPr>
              <w:jc w:val="center"/>
              <w:rPr>
                <w:b/>
              </w:rPr>
            </w:pPr>
            <w:r w:rsidRPr="00CD3820">
              <w:rPr>
                <w:b/>
              </w:rPr>
              <w:t>Evidence of including in SDG of Mongolia</w:t>
            </w:r>
          </w:p>
        </w:tc>
      </w:tr>
      <w:tr w:rsidR="00E07862" w:rsidRPr="00CD3820" w:rsidTr="00E07862">
        <w:tc>
          <w:tcPr>
            <w:tcW w:w="558" w:type="dxa"/>
          </w:tcPr>
          <w:p w:rsidR="00E07862" w:rsidRPr="00CD3820" w:rsidRDefault="00E07862" w:rsidP="00E07862">
            <w:pPr>
              <w:jc w:val="center"/>
            </w:pPr>
            <w:r w:rsidRPr="00CD3820">
              <w:t>1</w:t>
            </w:r>
          </w:p>
        </w:tc>
        <w:tc>
          <w:tcPr>
            <w:tcW w:w="720" w:type="dxa"/>
          </w:tcPr>
          <w:p w:rsidR="00E07862" w:rsidRPr="00CD3820" w:rsidRDefault="00E07862" w:rsidP="00E07862">
            <w:pPr>
              <w:jc w:val="center"/>
            </w:pPr>
            <w:r w:rsidRPr="00CD3820">
              <w:t>2</w:t>
            </w:r>
          </w:p>
        </w:tc>
        <w:tc>
          <w:tcPr>
            <w:tcW w:w="1530" w:type="dxa"/>
          </w:tcPr>
          <w:p w:rsidR="00E07862" w:rsidRPr="00CD3820" w:rsidRDefault="00E07862" w:rsidP="00E07862">
            <w:r w:rsidRPr="00CD3820">
              <w:t>Hunger</w:t>
            </w:r>
          </w:p>
        </w:tc>
        <w:tc>
          <w:tcPr>
            <w:tcW w:w="4860" w:type="dxa"/>
          </w:tcPr>
          <w:p w:rsidR="00E07862" w:rsidRPr="00CD3820" w:rsidRDefault="00E07862" w:rsidP="00E07862">
            <w:r w:rsidRPr="00CD3820">
              <w:t>Food security**….</w:t>
            </w:r>
          </w:p>
        </w:tc>
        <w:tc>
          <w:tcPr>
            <w:tcW w:w="6215" w:type="dxa"/>
          </w:tcPr>
          <w:p w:rsidR="00E07862" w:rsidRPr="00CD3820" w:rsidRDefault="00E07862" w:rsidP="00E07862">
            <w:r w:rsidRPr="00CD3820">
              <w:t xml:space="preserve">At least one indicator should be developed on this topic. </w:t>
            </w:r>
          </w:p>
        </w:tc>
      </w:tr>
      <w:tr w:rsidR="00E07862" w:rsidRPr="00CD3820" w:rsidTr="00E07862">
        <w:tc>
          <w:tcPr>
            <w:tcW w:w="558" w:type="dxa"/>
          </w:tcPr>
          <w:p w:rsidR="00E07862" w:rsidRPr="00CD3820" w:rsidRDefault="00E07862" w:rsidP="00E07862">
            <w:pPr>
              <w:jc w:val="center"/>
            </w:pPr>
            <w:r w:rsidRPr="00CD3820">
              <w:t>2</w:t>
            </w:r>
          </w:p>
        </w:tc>
        <w:tc>
          <w:tcPr>
            <w:tcW w:w="720" w:type="dxa"/>
          </w:tcPr>
          <w:p w:rsidR="00E07862" w:rsidRPr="00CD3820" w:rsidRDefault="00E07862" w:rsidP="00E07862">
            <w:pPr>
              <w:jc w:val="center"/>
            </w:pPr>
            <w:r w:rsidRPr="00CD3820">
              <w:t>3</w:t>
            </w:r>
          </w:p>
        </w:tc>
        <w:tc>
          <w:tcPr>
            <w:tcW w:w="1530" w:type="dxa"/>
          </w:tcPr>
          <w:p w:rsidR="00E07862" w:rsidRPr="00CD3820" w:rsidRDefault="00E07862" w:rsidP="00E07862">
            <w:r w:rsidRPr="00CD3820">
              <w:t>Health</w:t>
            </w:r>
          </w:p>
        </w:tc>
        <w:tc>
          <w:tcPr>
            <w:tcW w:w="4860" w:type="dxa"/>
          </w:tcPr>
          <w:p w:rsidR="00E07862" w:rsidRPr="00CD3820" w:rsidRDefault="00E07862" w:rsidP="00E07862">
            <w:r w:rsidRPr="00CD3820">
              <w:t xml:space="preserve">The gap in life expectancy at birth between women and men**. </w:t>
            </w:r>
          </w:p>
        </w:tc>
        <w:tc>
          <w:tcPr>
            <w:tcW w:w="6215" w:type="dxa"/>
          </w:tcPr>
          <w:p w:rsidR="00E07862" w:rsidRPr="00CD3820" w:rsidRDefault="00E07862" w:rsidP="00E07862">
            <w:r w:rsidRPr="00CD3820">
              <w:t xml:space="preserve">The gap in life expectancy at birth between women and men is on the rise from 7.3 years in 2010 to 9.6 years in 2013 and 2014. Men’ health is becoming an issue in Mongolia. This indicator should be estimated at regional, </w:t>
            </w:r>
            <w:proofErr w:type="spellStart"/>
            <w:r w:rsidRPr="00CD3820">
              <w:t>aimag</w:t>
            </w:r>
            <w:proofErr w:type="spellEnd"/>
            <w:r w:rsidRPr="00CD3820">
              <w:t xml:space="preserve"> and UB level.  </w:t>
            </w:r>
          </w:p>
        </w:tc>
      </w:tr>
      <w:tr w:rsidR="00E07862" w:rsidRPr="00CD3820" w:rsidTr="00E07862">
        <w:tc>
          <w:tcPr>
            <w:tcW w:w="558" w:type="dxa"/>
          </w:tcPr>
          <w:p w:rsidR="00E07862" w:rsidRPr="00CD3820" w:rsidRDefault="00E07862" w:rsidP="00E07862">
            <w:pPr>
              <w:jc w:val="center"/>
            </w:pPr>
            <w:r w:rsidRPr="00CD3820">
              <w:t>3</w:t>
            </w:r>
          </w:p>
        </w:tc>
        <w:tc>
          <w:tcPr>
            <w:tcW w:w="720" w:type="dxa"/>
          </w:tcPr>
          <w:p w:rsidR="00E07862" w:rsidRPr="00CD3820" w:rsidRDefault="00E07862" w:rsidP="00E07862">
            <w:pPr>
              <w:jc w:val="center"/>
            </w:pPr>
            <w:r w:rsidRPr="00CD3820">
              <w:t>3</w:t>
            </w:r>
          </w:p>
        </w:tc>
        <w:tc>
          <w:tcPr>
            <w:tcW w:w="1530" w:type="dxa"/>
          </w:tcPr>
          <w:p w:rsidR="00E07862" w:rsidRPr="00CD3820" w:rsidRDefault="00E07862">
            <w:r w:rsidRPr="00CD3820">
              <w:t>Health</w:t>
            </w:r>
          </w:p>
        </w:tc>
        <w:tc>
          <w:tcPr>
            <w:tcW w:w="4860" w:type="dxa"/>
          </w:tcPr>
          <w:p w:rsidR="00E07862" w:rsidRPr="00CD3820" w:rsidRDefault="00E07862" w:rsidP="00E07862">
            <w:r w:rsidRPr="00CD3820">
              <w:t>Number of new hepatitis C infections per 10,000 population in a given year</w:t>
            </w:r>
          </w:p>
        </w:tc>
        <w:tc>
          <w:tcPr>
            <w:tcW w:w="6215" w:type="dxa"/>
          </w:tcPr>
          <w:p w:rsidR="00E07862" w:rsidRPr="00CD3820" w:rsidRDefault="00E07862" w:rsidP="00E07862">
            <w:r w:rsidRPr="00CD3820">
              <w:t xml:space="preserve">Hepatitis C infection is the one of the leading causes of mortality that </w:t>
            </w:r>
            <w:proofErr w:type="gramStart"/>
            <w:r w:rsidRPr="00CD3820">
              <w:t>lead</w:t>
            </w:r>
            <w:proofErr w:type="gramEnd"/>
            <w:r w:rsidRPr="00CD3820">
              <w:t xml:space="preserve"> to cancer and infectious diseases in Mongolia.  </w:t>
            </w:r>
          </w:p>
        </w:tc>
      </w:tr>
      <w:tr w:rsidR="00E07862" w:rsidRPr="00CD3820" w:rsidTr="00E07862">
        <w:tc>
          <w:tcPr>
            <w:tcW w:w="558" w:type="dxa"/>
          </w:tcPr>
          <w:p w:rsidR="00E07862" w:rsidRPr="00CD3820" w:rsidRDefault="00E07862" w:rsidP="00E07862">
            <w:pPr>
              <w:jc w:val="center"/>
            </w:pPr>
            <w:r w:rsidRPr="00CD3820">
              <w:t>4</w:t>
            </w:r>
          </w:p>
        </w:tc>
        <w:tc>
          <w:tcPr>
            <w:tcW w:w="720" w:type="dxa"/>
          </w:tcPr>
          <w:p w:rsidR="00E07862" w:rsidRPr="00CD3820" w:rsidRDefault="00E07862" w:rsidP="00E07862">
            <w:pPr>
              <w:jc w:val="center"/>
            </w:pPr>
            <w:r w:rsidRPr="00CD3820">
              <w:t>3</w:t>
            </w:r>
          </w:p>
        </w:tc>
        <w:tc>
          <w:tcPr>
            <w:tcW w:w="1530" w:type="dxa"/>
          </w:tcPr>
          <w:p w:rsidR="00E07862" w:rsidRPr="00CD3820" w:rsidRDefault="00E07862">
            <w:r w:rsidRPr="00CD3820">
              <w:t>Health</w:t>
            </w:r>
          </w:p>
        </w:tc>
        <w:tc>
          <w:tcPr>
            <w:tcW w:w="4860" w:type="dxa"/>
          </w:tcPr>
          <w:p w:rsidR="00E07862" w:rsidRPr="00CD3820" w:rsidRDefault="00E07862" w:rsidP="00E07862">
            <w:r w:rsidRPr="00CD3820">
              <w:t xml:space="preserve">Abortion rate by </w:t>
            </w:r>
            <w:proofErr w:type="spellStart"/>
            <w:r w:rsidRPr="00CD3820">
              <w:t>agegroup</w:t>
            </w:r>
            <w:proofErr w:type="spellEnd"/>
            <w:r w:rsidRPr="00CD3820">
              <w:t xml:space="preserve">, urban/rural divide and </w:t>
            </w:r>
            <w:proofErr w:type="spellStart"/>
            <w:r w:rsidRPr="00CD3820">
              <w:t>aimags</w:t>
            </w:r>
            <w:proofErr w:type="spellEnd"/>
            <w:r w:rsidRPr="00CD3820">
              <w:t>**</w:t>
            </w:r>
          </w:p>
        </w:tc>
        <w:tc>
          <w:tcPr>
            <w:tcW w:w="6215" w:type="dxa"/>
          </w:tcPr>
          <w:p w:rsidR="00E07862" w:rsidRPr="00CD3820" w:rsidRDefault="00E07862" w:rsidP="00E07862">
            <w:r w:rsidRPr="00CD3820">
              <w:t xml:space="preserve">SISS 2013 indicates that abortion rate is higher in urban areas than that in rural ones. For instance, abortion rate among teenagers (aged 15-19) is 2.7 times higher in urban areas than that in rural ones. It is on the rise among teenagers aged 15-19 and women aged 20-29. </w:t>
            </w:r>
          </w:p>
        </w:tc>
      </w:tr>
      <w:tr w:rsidR="00E07862" w:rsidRPr="00CD3820" w:rsidTr="00E07862">
        <w:tc>
          <w:tcPr>
            <w:tcW w:w="558" w:type="dxa"/>
          </w:tcPr>
          <w:p w:rsidR="00E07862" w:rsidRPr="00CD3820" w:rsidRDefault="00E07862" w:rsidP="00E07862">
            <w:pPr>
              <w:jc w:val="center"/>
            </w:pPr>
            <w:r w:rsidRPr="00CD3820">
              <w:t>5</w:t>
            </w:r>
          </w:p>
        </w:tc>
        <w:tc>
          <w:tcPr>
            <w:tcW w:w="720" w:type="dxa"/>
          </w:tcPr>
          <w:p w:rsidR="00E07862" w:rsidRPr="00CD3820" w:rsidRDefault="00E07862" w:rsidP="00E07862">
            <w:pPr>
              <w:jc w:val="center"/>
            </w:pPr>
            <w:r w:rsidRPr="00CD3820">
              <w:t>3</w:t>
            </w:r>
          </w:p>
        </w:tc>
        <w:tc>
          <w:tcPr>
            <w:tcW w:w="1530" w:type="dxa"/>
          </w:tcPr>
          <w:p w:rsidR="00E07862" w:rsidRPr="00CD3820" w:rsidRDefault="00E07862">
            <w:r w:rsidRPr="00CD3820">
              <w:t>Health</w:t>
            </w:r>
          </w:p>
        </w:tc>
        <w:tc>
          <w:tcPr>
            <w:tcW w:w="4860" w:type="dxa"/>
          </w:tcPr>
          <w:p w:rsidR="00E07862" w:rsidRPr="00CD3820" w:rsidRDefault="00E07862" w:rsidP="00E07862">
            <w:r w:rsidRPr="00CD3820">
              <w:t xml:space="preserve">The prevalence of STIs among youth aged 15-34 </w:t>
            </w:r>
            <w:proofErr w:type="spellStart"/>
            <w:r w:rsidRPr="00CD3820">
              <w:t>byage</w:t>
            </w:r>
            <w:proofErr w:type="spellEnd"/>
            <w:r w:rsidRPr="00CD3820">
              <w:t>, urban/</w:t>
            </w:r>
            <w:proofErr w:type="spellStart"/>
            <w:r w:rsidRPr="00CD3820">
              <w:t>ruraland</w:t>
            </w:r>
            <w:proofErr w:type="spellEnd"/>
            <w:r w:rsidRPr="00CD3820">
              <w:t xml:space="preserve"> </w:t>
            </w:r>
            <w:proofErr w:type="spellStart"/>
            <w:r w:rsidRPr="00CD3820">
              <w:t>aimag</w:t>
            </w:r>
            <w:proofErr w:type="spellEnd"/>
            <w:r w:rsidRPr="00CD3820">
              <w:t>.</w:t>
            </w:r>
          </w:p>
        </w:tc>
        <w:tc>
          <w:tcPr>
            <w:tcW w:w="6215" w:type="dxa"/>
          </w:tcPr>
          <w:p w:rsidR="00E07862" w:rsidRPr="00CD3820" w:rsidRDefault="00E07862" w:rsidP="00E07862">
            <w:r w:rsidRPr="00CD3820">
              <w:t xml:space="preserve">The total number of syphilis incidence has increased from 4268 in 2011 to 6890 in 2014. Many of these incidences account for youth. The rising prevalence of STIs is one of the major health issues among youth in Mongolia. </w:t>
            </w:r>
          </w:p>
        </w:tc>
      </w:tr>
      <w:tr w:rsidR="00E07862" w:rsidRPr="00CD3820" w:rsidTr="00E07862">
        <w:tc>
          <w:tcPr>
            <w:tcW w:w="558" w:type="dxa"/>
          </w:tcPr>
          <w:p w:rsidR="00E07862" w:rsidRPr="00CD3820" w:rsidRDefault="00E07862" w:rsidP="00E07862">
            <w:pPr>
              <w:jc w:val="center"/>
            </w:pPr>
            <w:r w:rsidRPr="00CD3820">
              <w:t>6</w:t>
            </w:r>
          </w:p>
        </w:tc>
        <w:tc>
          <w:tcPr>
            <w:tcW w:w="720" w:type="dxa"/>
          </w:tcPr>
          <w:p w:rsidR="00E07862" w:rsidRPr="00CD3820" w:rsidRDefault="00E07862" w:rsidP="00E07862">
            <w:pPr>
              <w:jc w:val="center"/>
            </w:pPr>
            <w:r w:rsidRPr="00CD3820">
              <w:t>4</w:t>
            </w:r>
          </w:p>
        </w:tc>
        <w:tc>
          <w:tcPr>
            <w:tcW w:w="1530" w:type="dxa"/>
          </w:tcPr>
          <w:p w:rsidR="00E07862" w:rsidRPr="00CD3820" w:rsidRDefault="00E07862" w:rsidP="00E07862">
            <w:r w:rsidRPr="00CD3820">
              <w:t>Education</w:t>
            </w:r>
          </w:p>
        </w:tc>
        <w:tc>
          <w:tcPr>
            <w:tcW w:w="4860" w:type="dxa"/>
          </w:tcPr>
          <w:p w:rsidR="00E07862" w:rsidRPr="00CD3820" w:rsidRDefault="00E07862" w:rsidP="00E07862">
            <w:r w:rsidRPr="00CD3820">
              <w:t>Net enrollment rate in primary, secondary and tertiary education, by gender</w:t>
            </w:r>
          </w:p>
        </w:tc>
        <w:tc>
          <w:tcPr>
            <w:tcW w:w="6215" w:type="dxa"/>
          </w:tcPr>
          <w:p w:rsidR="00E07862" w:rsidRPr="00CD3820" w:rsidRDefault="00E07862" w:rsidP="00E07862">
            <w:r w:rsidRPr="00CD3820">
              <w:t>Although Mongolia is one of the well-performing countries with regard to this indicator, it is valuable to keep it in SDG</w:t>
            </w:r>
          </w:p>
        </w:tc>
      </w:tr>
      <w:tr w:rsidR="00E07862" w:rsidRPr="00CD3820" w:rsidTr="00E07862">
        <w:tc>
          <w:tcPr>
            <w:tcW w:w="558" w:type="dxa"/>
          </w:tcPr>
          <w:p w:rsidR="00E07862" w:rsidRPr="00CD3820" w:rsidRDefault="00E07862" w:rsidP="00E07862">
            <w:pPr>
              <w:jc w:val="center"/>
            </w:pPr>
            <w:r w:rsidRPr="00CD3820">
              <w:t>7</w:t>
            </w:r>
          </w:p>
        </w:tc>
        <w:tc>
          <w:tcPr>
            <w:tcW w:w="720" w:type="dxa"/>
          </w:tcPr>
          <w:p w:rsidR="00E07862" w:rsidRPr="00CD3820" w:rsidRDefault="00E07862" w:rsidP="00E07862">
            <w:pPr>
              <w:jc w:val="center"/>
            </w:pPr>
            <w:r w:rsidRPr="00CD3820">
              <w:t>4</w:t>
            </w:r>
          </w:p>
        </w:tc>
        <w:tc>
          <w:tcPr>
            <w:tcW w:w="1530" w:type="dxa"/>
          </w:tcPr>
          <w:p w:rsidR="00E07862" w:rsidRPr="00CD3820" w:rsidRDefault="00E07862">
            <w:r w:rsidRPr="00CD3820">
              <w:t>Education</w:t>
            </w:r>
          </w:p>
        </w:tc>
        <w:tc>
          <w:tcPr>
            <w:tcW w:w="4860" w:type="dxa"/>
          </w:tcPr>
          <w:p w:rsidR="00E07862" w:rsidRPr="00CD3820" w:rsidRDefault="00E07862" w:rsidP="00E07862">
            <w:r w:rsidRPr="00CD3820">
              <w:t>Gross enrollment rate in primary, secondary and tertiary education, be gender</w:t>
            </w:r>
          </w:p>
        </w:tc>
        <w:tc>
          <w:tcPr>
            <w:tcW w:w="6215" w:type="dxa"/>
          </w:tcPr>
          <w:p w:rsidR="00E07862" w:rsidRPr="00CD3820" w:rsidRDefault="00E07862" w:rsidP="00E07862">
            <w:r w:rsidRPr="00CD3820">
              <w:t>Although Mongolia is one of the well-performing countries with regard to this indicator, it is valuable to keep it in SDG</w:t>
            </w:r>
          </w:p>
        </w:tc>
      </w:tr>
      <w:tr w:rsidR="00E07862" w:rsidRPr="00CD3820" w:rsidTr="00E07862">
        <w:tc>
          <w:tcPr>
            <w:tcW w:w="558" w:type="dxa"/>
          </w:tcPr>
          <w:p w:rsidR="00E07862" w:rsidRPr="00CD3820" w:rsidRDefault="00E07862" w:rsidP="00E07862">
            <w:pPr>
              <w:jc w:val="center"/>
            </w:pPr>
            <w:r w:rsidRPr="00CD3820">
              <w:t>8</w:t>
            </w:r>
          </w:p>
        </w:tc>
        <w:tc>
          <w:tcPr>
            <w:tcW w:w="720" w:type="dxa"/>
          </w:tcPr>
          <w:p w:rsidR="00E07862" w:rsidRPr="00CD3820" w:rsidRDefault="00E07862" w:rsidP="00E07862">
            <w:pPr>
              <w:jc w:val="center"/>
            </w:pPr>
            <w:r w:rsidRPr="00CD3820">
              <w:t>4</w:t>
            </w:r>
          </w:p>
        </w:tc>
        <w:tc>
          <w:tcPr>
            <w:tcW w:w="1530" w:type="dxa"/>
          </w:tcPr>
          <w:p w:rsidR="00E07862" w:rsidRPr="00CD3820" w:rsidRDefault="00E07862">
            <w:r w:rsidRPr="00CD3820">
              <w:t>Education</w:t>
            </w:r>
          </w:p>
        </w:tc>
        <w:tc>
          <w:tcPr>
            <w:tcW w:w="4860" w:type="dxa"/>
          </w:tcPr>
          <w:p w:rsidR="00E07862" w:rsidRPr="00CD3820" w:rsidRDefault="00E07862" w:rsidP="00E07862">
            <w:r w:rsidRPr="00CD3820">
              <w:t>Percentage of the allocation of lesson hours in science-related subjects such as mathematics, physics, chemistry and biology.</w:t>
            </w:r>
          </w:p>
          <w:p w:rsidR="00E07862" w:rsidRPr="00CD3820" w:rsidRDefault="00E07862" w:rsidP="00E07862"/>
        </w:tc>
        <w:tc>
          <w:tcPr>
            <w:tcW w:w="6215" w:type="dxa"/>
          </w:tcPr>
          <w:p w:rsidR="00E07862" w:rsidRPr="00CD3820" w:rsidRDefault="00E07862" w:rsidP="00E07862">
            <w:r w:rsidRPr="00CD3820">
              <w:t xml:space="preserve">National HDR 2015 indicates that this percentage has decreased by 11-40 percent in the new curriculum. </w:t>
            </w:r>
          </w:p>
        </w:tc>
      </w:tr>
      <w:tr w:rsidR="00E07862" w:rsidRPr="00CD3820" w:rsidTr="00E07862">
        <w:tc>
          <w:tcPr>
            <w:tcW w:w="558" w:type="dxa"/>
          </w:tcPr>
          <w:p w:rsidR="00E07862" w:rsidRPr="00CD3820" w:rsidRDefault="00E07862" w:rsidP="00E07862">
            <w:pPr>
              <w:jc w:val="center"/>
            </w:pPr>
            <w:r w:rsidRPr="00CD3820">
              <w:lastRenderedPageBreak/>
              <w:t>9</w:t>
            </w:r>
          </w:p>
        </w:tc>
        <w:tc>
          <w:tcPr>
            <w:tcW w:w="720" w:type="dxa"/>
          </w:tcPr>
          <w:p w:rsidR="00E07862" w:rsidRPr="00CD3820" w:rsidRDefault="00E07862" w:rsidP="00E07862">
            <w:pPr>
              <w:jc w:val="center"/>
            </w:pPr>
            <w:r w:rsidRPr="00CD3820">
              <w:t>4</w:t>
            </w:r>
          </w:p>
        </w:tc>
        <w:tc>
          <w:tcPr>
            <w:tcW w:w="1530" w:type="dxa"/>
          </w:tcPr>
          <w:p w:rsidR="00E07862" w:rsidRPr="00CD3820" w:rsidRDefault="00E07862">
            <w:r w:rsidRPr="00CD3820">
              <w:t>Education</w:t>
            </w:r>
          </w:p>
        </w:tc>
        <w:tc>
          <w:tcPr>
            <w:tcW w:w="4860" w:type="dxa"/>
          </w:tcPr>
          <w:p w:rsidR="00E07862" w:rsidRPr="00CD3820" w:rsidRDefault="00E07862" w:rsidP="00E07862">
            <w:r w:rsidRPr="00CD3820">
              <w:t xml:space="preserve">Average number of students per class in primary, lower and upper secondary schools; at </w:t>
            </w:r>
            <w:proofErr w:type="spellStart"/>
            <w:r w:rsidRPr="00CD3820">
              <w:t>aimag</w:t>
            </w:r>
            <w:proofErr w:type="spellEnd"/>
            <w:r w:rsidRPr="00CD3820">
              <w:t xml:space="preserve"> and </w:t>
            </w:r>
            <w:proofErr w:type="spellStart"/>
            <w:r w:rsidRPr="00CD3820">
              <w:t>soum</w:t>
            </w:r>
            <w:proofErr w:type="spellEnd"/>
            <w:r w:rsidRPr="00CD3820">
              <w:t xml:space="preserve"> level, by region, by urban/ rural. </w:t>
            </w:r>
          </w:p>
        </w:tc>
        <w:tc>
          <w:tcPr>
            <w:tcW w:w="6215" w:type="dxa"/>
          </w:tcPr>
          <w:p w:rsidR="00E07862" w:rsidRPr="00CD3820" w:rsidRDefault="00E07862" w:rsidP="00E07862">
            <w:r w:rsidRPr="00CD3820">
              <w:t xml:space="preserve">Classes are crowded in rural areas and in </w:t>
            </w:r>
            <w:proofErr w:type="spellStart"/>
            <w:r w:rsidRPr="00CD3820">
              <w:t>ger</w:t>
            </w:r>
            <w:proofErr w:type="spellEnd"/>
            <w:r w:rsidRPr="00CD3820">
              <w:t xml:space="preserve"> areas of Ulaanbaatar. </w:t>
            </w:r>
          </w:p>
        </w:tc>
      </w:tr>
      <w:tr w:rsidR="00E07862" w:rsidRPr="00CD3820" w:rsidTr="00E07862">
        <w:tc>
          <w:tcPr>
            <w:tcW w:w="558" w:type="dxa"/>
          </w:tcPr>
          <w:p w:rsidR="00E07862" w:rsidRPr="00CD3820" w:rsidRDefault="00E07862" w:rsidP="00E07862">
            <w:pPr>
              <w:jc w:val="center"/>
            </w:pPr>
            <w:r w:rsidRPr="00CD3820">
              <w:t>10</w:t>
            </w:r>
          </w:p>
        </w:tc>
        <w:tc>
          <w:tcPr>
            <w:tcW w:w="720" w:type="dxa"/>
          </w:tcPr>
          <w:p w:rsidR="00E07862" w:rsidRPr="00CD3820" w:rsidRDefault="00E07862" w:rsidP="00E07862">
            <w:pPr>
              <w:jc w:val="center"/>
            </w:pPr>
            <w:r w:rsidRPr="00CD3820">
              <w:t>4</w:t>
            </w:r>
          </w:p>
        </w:tc>
        <w:tc>
          <w:tcPr>
            <w:tcW w:w="1530" w:type="dxa"/>
          </w:tcPr>
          <w:p w:rsidR="00E07862" w:rsidRPr="00CD3820" w:rsidRDefault="00E07862">
            <w:r w:rsidRPr="00CD3820">
              <w:t>Education</w:t>
            </w:r>
          </w:p>
        </w:tc>
        <w:tc>
          <w:tcPr>
            <w:tcW w:w="4860" w:type="dxa"/>
          </w:tcPr>
          <w:p w:rsidR="00E07862" w:rsidRPr="00CD3820" w:rsidRDefault="00E07862" w:rsidP="00E07862">
            <w:r w:rsidRPr="00CD3820">
              <w:t xml:space="preserve">Gross enrolment rate in education of children/youth with disabilities aged 18-29** </w:t>
            </w:r>
          </w:p>
        </w:tc>
        <w:tc>
          <w:tcPr>
            <w:tcW w:w="6215" w:type="dxa"/>
          </w:tcPr>
          <w:p w:rsidR="00E07862" w:rsidRPr="00CD3820" w:rsidRDefault="00E07862" w:rsidP="00E07862">
            <w:r w:rsidRPr="00CD3820">
              <w:t xml:space="preserve">It has been documented that school enrolments were significantly lower among 18 to 29-year-olds with disabilities. </w:t>
            </w:r>
          </w:p>
        </w:tc>
      </w:tr>
      <w:tr w:rsidR="00E07862" w:rsidRPr="00CD3820" w:rsidTr="00E07862">
        <w:tc>
          <w:tcPr>
            <w:tcW w:w="558" w:type="dxa"/>
          </w:tcPr>
          <w:p w:rsidR="00E07862" w:rsidRPr="00CD3820" w:rsidRDefault="00E07862" w:rsidP="00E07862">
            <w:pPr>
              <w:jc w:val="center"/>
            </w:pPr>
            <w:r w:rsidRPr="00CD3820">
              <w:t>11</w:t>
            </w:r>
          </w:p>
        </w:tc>
        <w:tc>
          <w:tcPr>
            <w:tcW w:w="720" w:type="dxa"/>
          </w:tcPr>
          <w:p w:rsidR="00E07862" w:rsidRPr="00CD3820" w:rsidRDefault="00E07862" w:rsidP="00E07862">
            <w:pPr>
              <w:jc w:val="center"/>
            </w:pPr>
            <w:r w:rsidRPr="00CD3820">
              <w:t>4</w:t>
            </w:r>
          </w:p>
        </w:tc>
        <w:tc>
          <w:tcPr>
            <w:tcW w:w="1530" w:type="dxa"/>
          </w:tcPr>
          <w:p w:rsidR="00E07862" w:rsidRPr="00CD3820" w:rsidRDefault="00E07862">
            <w:r w:rsidRPr="00CD3820">
              <w:t>Education</w:t>
            </w:r>
          </w:p>
        </w:tc>
        <w:tc>
          <w:tcPr>
            <w:tcW w:w="4860" w:type="dxa"/>
          </w:tcPr>
          <w:p w:rsidR="00E07862" w:rsidRPr="00CD3820" w:rsidRDefault="00E07862" w:rsidP="00E07862">
            <w:r w:rsidRPr="00CD3820">
              <w:t>Percentage of people with disabilities who have higher education</w:t>
            </w:r>
          </w:p>
        </w:tc>
        <w:tc>
          <w:tcPr>
            <w:tcW w:w="6215" w:type="dxa"/>
          </w:tcPr>
          <w:p w:rsidR="00E07862" w:rsidRPr="00CD3820" w:rsidRDefault="00E07862" w:rsidP="00E07862">
            <w:r w:rsidRPr="00CD3820">
              <w:t xml:space="preserve">The results of the 2010 population census shows that only 8 percent of the people with disabilities have higher education that is about 56 </w:t>
            </w:r>
            <w:proofErr w:type="gramStart"/>
            <w:r w:rsidRPr="00CD3820">
              <w:t>percentage</w:t>
            </w:r>
            <w:proofErr w:type="gramEnd"/>
            <w:r w:rsidRPr="00CD3820">
              <w:t xml:space="preserve"> point lower than that the rest of the population.</w:t>
            </w:r>
          </w:p>
        </w:tc>
      </w:tr>
      <w:tr w:rsidR="00E07862" w:rsidRPr="00CD3820" w:rsidTr="00E07862">
        <w:tc>
          <w:tcPr>
            <w:tcW w:w="558" w:type="dxa"/>
          </w:tcPr>
          <w:p w:rsidR="00E07862" w:rsidRPr="00CD3820" w:rsidRDefault="00E07862" w:rsidP="00E07862">
            <w:pPr>
              <w:jc w:val="center"/>
            </w:pPr>
            <w:r w:rsidRPr="00CD3820">
              <w:t>12</w:t>
            </w:r>
          </w:p>
        </w:tc>
        <w:tc>
          <w:tcPr>
            <w:tcW w:w="720" w:type="dxa"/>
          </w:tcPr>
          <w:p w:rsidR="00E07862" w:rsidRPr="00CD3820" w:rsidRDefault="00E07862" w:rsidP="00E07862">
            <w:pPr>
              <w:jc w:val="center"/>
            </w:pPr>
            <w:r w:rsidRPr="00CD3820">
              <w:t>4</w:t>
            </w:r>
          </w:p>
        </w:tc>
        <w:tc>
          <w:tcPr>
            <w:tcW w:w="1530" w:type="dxa"/>
          </w:tcPr>
          <w:p w:rsidR="00E07862" w:rsidRPr="00CD3820" w:rsidRDefault="00E07862">
            <w:r w:rsidRPr="00CD3820">
              <w:t>Education</w:t>
            </w:r>
          </w:p>
        </w:tc>
        <w:tc>
          <w:tcPr>
            <w:tcW w:w="4860" w:type="dxa"/>
          </w:tcPr>
          <w:p w:rsidR="00E07862" w:rsidRPr="00CD3820" w:rsidRDefault="00E07862" w:rsidP="00E07862">
            <w:r w:rsidRPr="00CD3820">
              <w:t xml:space="preserve">Percentage of people with disabilities who are illiterate by age, sex, urban/rural, </w:t>
            </w:r>
            <w:proofErr w:type="spellStart"/>
            <w:r w:rsidRPr="00CD3820">
              <w:t>soum</w:t>
            </w:r>
            <w:proofErr w:type="spellEnd"/>
            <w:r w:rsidRPr="00CD3820">
              <w:t xml:space="preserve"> and </w:t>
            </w:r>
            <w:proofErr w:type="spellStart"/>
            <w:r w:rsidRPr="00CD3820">
              <w:t>aimag</w:t>
            </w:r>
            <w:proofErr w:type="spellEnd"/>
            <w:r w:rsidRPr="00CD3820">
              <w:t>.</w:t>
            </w:r>
          </w:p>
        </w:tc>
        <w:tc>
          <w:tcPr>
            <w:tcW w:w="6215" w:type="dxa"/>
          </w:tcPr>
          <w:p w:rsidR="00E07862" w:rsidRPr="00CD3820" w:rsidRDefault="00E07862" w:rsidP="00E07862">
            <w:r w:rsidRPr="00CD3820">
              <w:t>The latest population census indicates that almost half of the people with disabilities were illiterate.</w:t>
            </w:r>
          </w:p>
        </w:tc>
      </w:tr>
      <w:tr w:rsidR="00E07862" w:rsidRPr="00CD3820" w:rsidTr="00E07862">
        <w:tc>
          <w:tcPr>
            <w:tcW w:w="558" w:type="dxa"/>
          </w:tcPr>
          <w:p w:rsidR="00E07862" w:rsidRPr="00CD3820" w:rsidRDefault="00E07862" w:rsidP="00E07862">
            <w:pPr>
              <w:jc w:val="center"/>
            </w:pPr>
            <w:r w:rsidRPr="00CD3820">
              <w:t>13</w:t>
            </w:r>
          </w:p>
        </w:tc>
        <w:tc>
          <w:tcPr>
            <w:tcW w:w="720" w:type="dxa"/>
          </w:tcPr>
          <w:p w:rsidR="00E07862" w:rsidRPr="00CD3820" w:rsidRDefault="00E07862" w:rsidP="00E07862">
            <w:pPr>
              <w:jc w:val="center"/>
            </w:pPr>
            <w:r w:rsidRPr="00CD3820">
              <w:t>4</w:t>
            </w:r>
          </w:p>
        </w:tc>
        <w:tc>
          <w:tcPr>
            <w:tcW w:w="1530" w:type="dxa"/>
          </w:tcPr>
          <w:p w:rsidR="00E07862" w:rsidRPr="00CD3820" w:rsidRDefault="00E07862">
            <w:r w:rsidRPr="00CD3820">
              <w:t>Education</w:t>
            </w:r>
          </w:p>
        </w:tc>
        <w:tc>
          <w:tcPr>
            <w:tcW w:w="4860" w:type="dxa"/>
          </w:tcPr>
          <w:p w:rsidR="00E07862" w:rsidRPr="00CD3820" w:rsidRDefault="00E07862" w:rsidP="00E07862">
            <w:r w:rsidRPr="00CD3820">
              <w:t xml:space="preserve">Pupil-Teacher ratio by region, </w:t>
            </w:r>
            <w:proofErr w:type="spellStart"/>
            <w:r w:rsidRPr="00CD3820">
              <w:t>aimag</w:t>
            </w:r>
            <w:proofErr w:type="spellEnd"/>
            <w:r w:rsidRPr="00CD3820">
              <w:t xml:space="preserve"> and </w:t>
            </w:r>
            <w:proofErr w:type="spellStart"/>
            <w:r w:rsidRPr="00CD3820">
              <w:t>soum</w:t>
            </w:r>
            <w:proofErr w:type="spellEnd"/>
            <w:r w:rsidRPr="00CD3820">
              <w:t xml:space="preserve">** </w:t>
            </w:r>
          </w:p>
        </w:tc>
        <w:tc>
          <w:tcPr>
            <w:tcW w:w="6215" w:type="dxa"/>
          </w:tcPr>
          <w:p w:rsidR="00E07862" w:rsidRPr="00CD3820" w:rsidRDefault="00E07862" w:rsidP="00E07862">
            <w:r w:rsidRPr="00CD3820">
              <w:t xml:space="preserve">This ratio is low in rural </w:t>
            </w:r>
            <w:proofErr w:type="spellStart"/>
            <w:r w:rsidRPr="00CD3820">
              <w:t>soums</w:t>
            </w:r>
            <w:proofErr w:type="spellEnd"/>
            <w:r w:rsidRPr="00CD3820">
              <w:t xml:space="preserve"> while it is high in urban areas and Ulaanbaatar. </w:t>
            </w:r>
          </w:p>
        </w:tc>
      </w:tr>
      <w:tr w:rsidR="00E07862" w:rsidRPr="00CD3820" w:rsidTr="00E07862">
        <w:tc>
          <w:tcPr>
            <w:tcW w:w="558" w:type="dxa"/>
          </w:tcPr>
          <w:p w:rsidR="00E07862" w:rsidRPr="00CD3820" w:rsidRDefault="00E07862" w:rsidP="00E07862">
            <w:pPr>
              <w:jc w:val="center"/>
            </w:pPr>
            <w:r w:rsidRPr="00CD3820">
              <w:t>14</w:t>
            </w:r>
          </w:p>
        </w:tc>
        <w:tc>
          <w:tcPr>
            <w:tcW w:w="720" w:type="dxa"/>
          </w:tcPr>
          <w:p w:rsidR="00E07862" w:rsidRPr="00CD3820" w:rsidRDefault="00E07862" w:rsidP="00E07862">
            <w:pPr>
              <w:jc w:val="center"/>
            </w:pPr>
            <w:r w:rsidRPr="00CD3820">
              <w:t>5</w:t>
            </w:r>
          </w:p>
        </w:tc>
        <w:tc>
          <w:tcPr>
            <w:tcW w:w="1530" w:type="dxa"/>
          </w:tcPr>
          <w:p w:rsidR="00E07862" w:rsidRPr="00CD3820" w:rsidRDefault="00E07862" w:rsidP="00E07862">
            <w:r w:rsidRPr="00CD3820">
              <w:t>Gender</w:t>
            </w:r>
          </w:p>
        </w:tc>
        <w:tc>
          <w:tcPr>
            <w:tcW w:w="4860" w:type="dxa"/>
          </w:tcPr>
          <w:p w:rsidR="00E07862" w:rsidRPr="00CD3820" w:rsidRDefault="00E07862" w:rsidP="00E07862">
            <w:r w:rsidRPr="00CD3820">
              <w:t>Percentage of households headed by women**</w:t>
            </w:r>
          </w:p>
        </w:tc>
        <w:tc>
          <w:tcPr>
            <w:tcW w:w="6215" w:type="dxa"/>
          </w:tcPr>
          <w:p w:rsidR="00E07862" w:rsidRPr="00CD3820" w:rsidRDefault="00E07862" w:rsidP="00E07862">
            <w:r w:rsidRPr="00CD3820">
              <w:t xml:space="preserve">The number of divorces has risen by 46.1 percent in 2014 as opposed to 2012 (NSO 2104). Hence, it is more likely that women headed of households may increase as a result of rising number of divorces. </w:t>
            </w:r>
          </w:p>
        </w:tc>
      </w:tr>
      <w:tr w:rsidR="00E07862" w:rsidRPr="00CD3820" w:rsidTr="00E07862">
        <w:tc>
          <w:tcPr>
            <w:tcW w:w="558" w:type="dxa"/>
          </w:tcPr>
          <w:p w:rsidR="00E07862" w:rsidRPr="00CD3820" w:rsidRDefault="00E07862" w:rsidP="00E07862">
            <w:pPr>
              <w:jc w:val="center"/>
            </w:pPr>
            <w:r w:rsidRPr="00CD3820">
              <w:t>15</w:t>
            </w:r>
          </w:p>
        </w:tc>
        <w:tc>
          <w:tcPr>
            <w:tcW w:w="720" w:type="dxa"/>
          </w:tcPr>
          <w:p w:rsidR="00E07862" w:rsidRPr="00CD3820" w:rsidRDefault="00E07862" w:rsidP="00E07862">
            <w:pPr>
              <w:jc w:val="center"/>
            </w:pPr>
            <w:r w:rsidRPr="00CD3820">
              <w:t>5</w:t>
            </w:r>
          </w:p>
        </w:tc>
        <w:tc>
          <w:tcPr>
            <w:tcW w:w="1530" w:type="dxa"/>
          </w:tcPr>
          <w:p w:rsidR="00E07862" w:rsidRPr="00CD3820" w:rsidRDefault="00E07862" w:rsidP="00E07862">
            <w:r w:rsidRPr="00CD3820">
              <w:t>Gender</w:t>
            </w:r>
          </w:p>
        </w:tc>
        <w:tc>
          <w:tcPr>
            <w:tcW w:w="4860" w:type="dxa"/>
          </w:tcPr>
          <w:p w:rsidR="00E07862" w:rsidRPr="00CD3820" w:rsidRDefault="00E07862" w:rsidP="00E07862">
            <w:r w:rsidRPr="00CD3820">
              <w:t>Ratio of girls to boys in primary, secondary and tertiary education.</w:t>
            </w:r>
          </w:p>
        </w:tc>
        <w:tc>
          <w:tcPr>
            <w:tcW w:w="6215" w:type="dxa"/>
          </w:tcPr>
          <w:p w:rsidR="00E07862" w:rsidRPr="00CD3820" w:rsidRDefault="00E07862" w:rsidP="00E07862">
            <w:r w:rsidRPr="00CD3820">
              <w:t xml:space="preserve">Mongolia has a problem of gender imbalance in tertiary education although it is decreasing. For instance, as of 2012 the girls to </w:t>
            </w:r>
            <w:proofErr w:type="gramStart"/>
            <w:r w:rsidRPr="00CD3820">
              <w:t>boys</w:t>
            </w:r>
            <w:proofErr w:type="gramEnd"/>
            <w:r w:rsidRPr="00CD3820">
              <w:t xml:space="preserve"> ratio was 1.40. </w:t>
            </w:r>
          </w:p>
        </w:tc>
      </w:tr>
      <w:tr w:rsidR="00E07862" w:rsidRPr="00CD3820" w:rsidTr="00E07862">
        <w:tc>
          <w:tcPr>
            <w:tcW w:w="558" w:type="dxa"/>
          </w:tcPr>
          <w:p w:rsidR="00E07862" w:rsidRPr="00CD3820" w:rsidRDefault="00E07862" w:rsidP="00E07862">
            <w:pPr>
              <w:jc w:val="center"/>
            </w:pPr>
            <w:r w:rsidRPr="00CD3820">
              <w:t>16</w:t>
            </w:r>
          </w:p>
        </w:tc>
        <w:tc>
          <w:tcPr>
            <w:tcW w:w="720" w:type="dxa"/>
          </w:tcPr>
          <w:p w:rsidR="00E07862" w:rsidRPr="00CD3820" w:rsidRDefault="00E07862" w:rsidP="00E07862">
            <w:pPr>
              <w:jc w:val="center"/>
            </w:pPr>
            <w:r w:rsidRPr="00CD3820">
              <w:t>8</w:t>
            </w:r>
          </w:p>
        </w:tc>
        <w:tc>
          <w:tcPr>
            <w:tcW w:w="1530" w:type="dxa"/>
          </w:tcPr>
          <w:p w:rsidR="00E07862" w:rsidRPr="00CD3820" w:rsidRDefault="00E07862" w:rsidP="00E07862">
            <w:r w:rsidRPr="00CD3820">
              <w:t>Economic growth and employment</w:t>
            </w:r>
          </w:p>
        </w:tc>
        <w:tc>
          <w:tcPr>
            <w:tcW w:w="4860" w:type="dxa"/>
          </w:tcPr>
          <w:p w:rsidR="00E07862" w:rsidRPr="00CD3820" w:rsidRDefault="00E07862" w:rsidP="00E07862">
            <w:r w:rsidRPr="00CD3820">
              <w:t xml:space="preserve">Employment rate of youth (aged 15-34) with disabilities by age, sex, urban/rural and </w:t>
            </w:r>
            <w:proofErr w:type="spellStart"/>
            <w:r w:rsidRPr="00CD3820">
              <w:t>aimag</w:t>
            </w:r>
            <w:proofErr w:type="spellEnd"/>
            <w:r w:rsidRPr="00CD3820">
              <w:t xml:space="preserve">. </w:t>
            </w:r>
          </w:p>
        </w:tc>
        <w:tc>
          <w:tcPr>
            <w:tcW w:w="6215" w:type="dxa"/>
          </w:tcPr>
          <w:p w:rsidR="00E07862" w:rsidRPr="00CD3820" w:rsidRDefault="00E07862" w:rsidP="00E07862">
            <w:r w:rsidRPr="00CD3820">
              <w:t>Youth with disabilities have limited opportunities for employment, especially in rural areas, and most of them are self-employed (NHDR 2015).</w:t>
            </w:r>
          </w:p>
        </w:tc>
      </w:tr>
      <w:tr w:rsidR="00E07862" w:rsidRPr="00CD3820" w:rsidTr="00E07862">
        <w:tc>
          <w:tcPr>
            <w:tcW w:w="558" w:type="dxa"/>
          </w:tcPr>
          <w:p w:rsidR="00E07862" w:rsidRPr="00CD3820" w:rsidRDefault="00E07862" w:rsidP="00E07862">
            <w:pPr>
              <w:jc w:val="center"/>
            </w:pPr>
            <w:r w:rsidRPr="00CD3820">
              <w:t>17</w:t>
            </w:r>
          </w:p>
        </w:tc>
        <w:tc>
          <w:tcPr>
            <w:tcW w:w="720" w:type="dxa"/>
          </w:tcPr>
          <w:p w:rsidR="00E07862" w:rsidRPr="00CD3820" w:rsidRDefault="00E07862" w:rsidP="00E07862">
            <w:pPr>
              <w:jc w:val="center"/>
            </w:pPr>
            <w:r w:rsidRPr="00CD3820">
              <w:t>8</w:t>
            </w:r>
          </w:p>
        </w:tc>
        <w:tc>
          <w:tcPr>
            <w:tcW w:w="1530" w:type="dxa"/>
          </w:tcPr>
          <w:p w:rsidR="00E07862" w:rsidRPr="00CD3820" w:rsidRDefault="00E07862" w:rsidP="00E07862">
            <w:r w:rsidRPr="00CD3820">
              <w:t>Economic growth and employment</w:t>
            </w:r>
          </w:p>
        </w:tc>
        <w:tc>
          <w:tcPr>
            <w:tcW w:w="4860" w:type="dxa"/>
          </w:tcPr>
          <w:p w:rsidR="00E07862" w:rsidRPr="00CD3820" w:rsidRDefault="00E07862" w:rsidP="00E07862">
            <w:r w:rsidRPr="00CD3820">
              <w:t xml:space="preserve">Percentage of youth who graduated from Technical and Vocational Education and who were employed. </w:t>
            </w:r>
          </w:p>
          <w:p w:rsidR="00E07862" w:rsidRPr="00CD3820" w:rsidRDefault="00E07862" w:rsidP="00E07862"/>
          <w:p w:rsidR="00E07862" w:rsidRPr="00CD3820" w:rsidRDefault="00E07862" w:rsidP="00E07862"/>
        </w:tc>
        <w:tc>
          <w:tcPr>
            <w:tcW w:w="6215" w:type="dxa"/>
          </w:tcPr>
          <w:p w:rsidR="00E07862" w:rsidRPr="00CD3820" w:rsidRDefault="00E07862" w:rsidP="00E07862">
            <w:r w:rsidRPr="00CD3820">
              <w:lastRenderedPageBreak/>
              <w:t xml:space="preserve">Mongolia lacks of people who have acquired technical and vocational skills. On the other side, there is mismatch between demand and supply of jobs that require technical and vocational skills.  </w:t>
            </w:r>
          </w:p>
        </w:tc>
      </w:tr>
      <w:tr w:rsidR="00E07862" w:rsidRPr="00CD3820" w:rsidTr="00E07862">
        <w:tc>
          <w:tcPr>
            <w:tcW w:w="558" w:type="dxa"/>
          </w:tcPr>
          <w:p w:rsidR="00E07862" w:rsidRPr="00CD3820" w:rsidRDefault="00E07862" w:rsidP="00E07862">
            <w:pPr>
              <w:jc w:val="center"/>
            </w:pPr>
            <w:r w:rsidRPr="00CD3820">
              <w:lastRenderedPageBreak/>
              <w:t>18</w:t>
            </w:r>
          </w:p>
        </w:tc>
        <w:tc>
          <w:tcPr>
            <w:tcW w:w="720" w:type="dxa"/>
          </w:tcPr>
          <w:p w:rsidR="00E07862" w:rsidRPr="00CD3820" w:rsidRDefault="00E07862" w:rsidP="00E07862">
            <w:pPr>
              <w:jc w:val="center"/>
            </w:pPr>
            <w:r w:rsidRPr="00CD3820">
              <w:t>8</w:t>
            </w:r>
          </w:p>
        </w:tc>
        <w:tc>
          <w:tcPr>
            <w:tcW w:w="1530" w:type="dxa"/>
          </w:tcPr>
          <w:p w:rsidR="00E07862" w:rsidRPr="00CD3820" w:rsidRDefault="00E07862" w:rsidP="00E07862">
            <w:r w:rsidRPr="00CD3820">
              <w:t>Economic growth and employment</w:t>
            </w:r>
          </w:p>
        </w:tc>
        <w:tc>
          <w:tcPr>
            <w:tcW w:w="4860" w:type="dxa"/>
          </w:tcPr>
          <w:p w:rsidR="00E07862" w:rsidRPr="00CD3820" w:rsidRDefault="00E07862" w:rsidP="00E07862">
            <w:r w:rsidRPr="00CD3820">
              <w:t xml:space="preserve">Unemployment rate of youth by age (15-24; 25-30; 30-34), sex, </w:t>
            </w:r>
            <w:proofErr w:type="spellStart"/>
            <w:r w:rsidRPr="00CD3820">
              <w:t>aimag</w:t>
            </w:r>
            <w:proofErr w:type="spellEnd"/>
            <w:r w:rsidRPr="00CD3820">
              <w:t xml:space="preserve"> and </w:t>
            </w:r>
            <w:proofErr w:type="spellStart"/>
            <w:r w:rsidRPr="00CD3820">
              <w:t>soum</w:t>
            </w:r>
            <w:proofErr w:type="spellEnd"/>
          </w:p>
        </w:tc>
        <w:tc>
          <w:tcPr>
            <w:tcW w:w="6215" w:type="dxa"/>
          </w:tcPr>
          <w:p w:rsidR="00E07862" w:rsidRPr="00CD3820" w:rsidRDefault="00E07862" w:rsidP="00E07862">
            <w:r w:rsidRPr="00CD3820">
              <w:t xml:space="preserve">Youth comprise nearly 60 percent of all unemployed (NHDR 2015). </w:t>
            </w:r>
          </w:p>
        </w:tc>
      </w:tr>
      <w:tr w:rsidR="00E07862" w:rsidRPr="00CD3820" w:rsidTr="00E07862">
        <w:tc>
          <w:tcPr>
            <w:tcW w:w="558" w:type="dxa"/>
          </w:tcPr>
          <w:p w:rsidR="00E07862" w:rsidRPr="00CD3820" w:rsidRDefault="00E07862" w:rsidP="00E07862">
            <w:pPr>
              <w:jc w:val="center"/>
            </w:pPr>
            <w:r w:rsidRPr="00CD3820">
              <w:t>19</w:t>
            </w:r>
          </w:p>
        </w:tc>
        <w:tc>
          <w:tcPr>
            <w:tcW w:w="720" w:type="dxa"/>
          </w:tcPr>
          <w:p w:rsidR="00E07862" w:rsidRPr="00CD3820" w:rsidRDefault="00E07862" w:rsidP="00E07862">
            <w:pPr>
              <w:jc w:val="center"/>
            </w:pPr>
            <w:r w:rsidRPr="00CD3820">
              <w:t>9</w:t>
            </w:r>
          </w:p>
        </w:tc>
        <w:tc>
          <w:tcPr>
            <w:tcW w:w="1530" w:type="dxa"/>
          </w:tcPr>
          <w:p w:rsidR="00E07862" w:rsidRPr="00CD3820" w:rsidRDefault="00E07862" w:rsidP="00E07862">
            <w:r w:rsidRPr="00CD3820">
              <w:t>Infrastructure</w:t>
            </w:r>
          </w:p>
        </w:tc>
        <w:tc>
          <w:tcPr>
            <w:tcW w:w="4860" w:type="dxa"/>
          </w:tcPr>
          <w:p w:rsidR="00E07862" w:rsidRPr="00CD3820" w:rsidRDefault="00E07862" w:rsidP="00E07862">
            <w:r w:rsidRPr="00CD3820">
              <w:t>The length of improved road at the national level**</w:t>
            </w:r>
          </w:p>
        </w:tc>
        <w:tc>
          <w:tcPr>
            <w:tcW w:w="6215" w:type="dxa"/>
          </w:tcPr>
          <w:p w:rsidR="00E07862" w:rsidRPr="00CD3820" w:rsidRDefault="00E07862" w:rsidP="00E07862"/>
        </w:tc>
      </w:tr>
      <w:tr w:rsidR="00E07862" w:rsidRPr="00CD3820" w:rsidTr="00E07862">
        <w:tc>
          <w:tcPr>
            <w:tcW w:w="558" w:type="dxa"/>
          </w:tcPr>
          <w:p w:rsidR="00E07862" w:rsidRPr="00CD3820" w:rsidRDefault="00E07862" w:rsidP="00E07862">
            <w:pPr>
              <w:jc w:val="center"/>
            </w:pPr>
            <w:r w:rsidRPr="00CD3820">
              <w:t>20</w:t>
            </w:r>
          </w:p>
        </w:tc>
        <w:tc>
          <w:tcPr>
            <w:tcW w:w="720" w:type="dxa"/>
          </w:tcPr>
          <w:p w:rsidR="00E07862" w:rsidRPr="00CD3820" w:rsidRDefault="00E07862" w:rsidP="00E07862">
            <w:pPr>
              <w:jc w:val="center"/>
            </w:pPr>
            <w:r w:rsidRPr="00CD3820">
              <w:t>11</w:t>
            </w:r>
          </w:p>
        </w:tc>
        <w:tc>
          <w:tcPr>
            <w:tcW w:w="1530" w:type="dxa"/>
          </w:tcPr>
          <w:p w:rsidR="00E07862" w:rsidRPr="00CD3820" w:rsidRDefault="00E07862" w:rsidP="00E07862">
            <w:r w:rsidRPr="00CD3820">
              <w:t>Urban development</w:t>
            </w:r>
          </w:p>
        </w:tc>
        <w:tc>
          <w:tcPr>
            <w:tcW w:w="4860" w:type="dxa"/>
          </w:tcPr>
          <w:p w:rsidR="00E07862" w:rsidRPr="00CD3820" w:rsidRDefault="00E07862" w:rsidP="00E07862">
            <w:r w:rsidRPr="00CD3820">
              <w:t>Growth rate of migrants who moved in to Ulaanbaatar during the last 12 months**</w:t>
            </w:r>
          </w:p>
        </w:tc>
        <w:tc>
          <w:tcPr>
            <w:tcW w:w="6215" w:type="dxa"/>
          </w:tcPr>
          <w:p w:rsidR="00E07862" w:rsidRPr="00CD3820" w:rsidRDefault="00E07862" w:rsidP="00E07862"/>
        </w:tc>
      </w:tr>
      <w:tr w:rsidR="00E07862" w:rsidRPr="00CD3820" w:rsidTr="00E07862">
        <w:tc>
          <w:tcPr>
            <w:tcW w:w="558" w:type="dxa"/>
          </w:tcPr>
          <w:p w:rsidR="00E07862" w:rsidRPr="00CD3820" w:rsidRDefault="00E07862" w:rsidP="00E07862">
            <w:pPr>
              <w:jc w:val="center"/>
            </w:pPr>
            <w:r w:rsidRPr="00CD3820">
              <w:t>21</w:t>
            </w:r>
          </w:p>
        </w:tc>
        <w:tc>
          <w:tcPr>
            <w:tcW w:w="720" w:type="dxa"/>
          </w:tcPr>
          <w:p w:rsidR="00E07862" w:rsidRPr="00CD3820" w:rsidRDefault="00E07862" w:rsidP="00E07862">
            <w:pPr>
              <w:jc w:val="center"/>
            </w:pPr>
            <w:r w:rsidRPr="00CD3820">
              <w:t>15</w:t>
            </w:r>
          </w:p>
        </w:tc>
        <w:tc>
          <w:tcPr>
            <w:tcW w:w="1530" w:type="dxa"/>
          </w:tcPr>
          <w:p w:rsidR="00E07862" w:rsidRPr="00CD3820" w:rsidRDefault="00E07862" w:rsidP="00E07862">
            <w:r w:rsidRPr="00CD3820">
              <w:t>Forest</w:t>
            </w:r>
          </w:p>
        </w:tc>
        <w:tc>
          <w:tcPr>
            <w:tcW w:w="4860" w:type="dxa"/>
          </w:tcPr>
          <w:p w:rsidR="00E07862" w:rsidRPr="00CD3820" w:rsidRDefault="00E07862" w:rsidP="00E07862">
            <w:r w:rsidRPr="00CD3820">
              <w:t xml:space="preserve">Damaged landscape as a result of both large-scale mining industries and artisanal and small scale mining (ASSM) companies’ activities**. </w:t>
            </w:r>
          </w:p>
        </w:tc>
        <w:tc>
          <w:tcPr>
            <w:tcW w:w="6215" w:type="dxa"/>
          </w:tcPr>
          <w:p w:rsidR="00E07862" w:rsidRPr="00CD3820" w:rsidRDefault="00E07862" w:rsidP="00E07862">
            <w:pPr>
              <w:autoSpaceDE w:val="0"/>
              <w:autoSpaceDN w:val="0"/>
              <w:adjustRightInd w:val="0"/>
            </w:pPr>
            <w:r w:rsidRPr="00CD3820">
              <w:t xml:space="preserve">A recent Government inspection reported that of 22,752 hectares of mined land, 4,256 hectares has been damaged by mining activities and abandoned with no rehabilitation. </w:t>
            </w:r>
          </w:p>
        </w:tc>
      </w:tr>
    </w:tbl>
    <w:p w:rsidR="00E07862" w:rsidRPr="00CD3820" w:rsidRDefault="00E07862" w:rsidP="00E07862">
      <w:r w:rsidRPr="00CD3820">
        <w:t xml:space="preserve">Note: * This list contains new indicators that NOT been included in Excel sheet. The Excel sheet also proposed new indicators as a result of split </w:t>
      </w:r>
    </w:p>
    <w:p w:rsidR="00E07862" w:rsidRPr="00CD3820" w:rsidRDefault="00E07862" w:rsidP="00E07862">
      <w:r w:rsidRPr="00CD3820">
        <w:t xml:space="preserve">             </w:t>
      </w:r>
      <w:proofErr w:type="gramStart"/>
      <w:r w:rsidRPr="00CD3820">
        <w:t>or</w:t>
      </w:r>
      <w:proofErr w:type="gramEnd"/>
      <w:r w:rsidRPr="00CD3820">
        <w:t xml:space="preserve"> rephrasing of existing Global SDG indicators. Please have a close look at the NOTE of the Excel sheet where we proposed new</w:t>
      </w:r>
    </w:p>
    <w:p w:rsidR="00E07862" w:rsidRPr="00CD3820" w:rsidRDefault="00E07862" w:rsidP="00E07862">
      <w:r w:rsidRPr="00CD3820">
        <w:t xml:space="preserve">             </w:t>
      </w:r>
      <w:proofErr w:type="gramStart"/>
      <w:r w:rsidRPr="00CD3820">
        <w:t>indicators</w:t>
      </w:r>
      <w:proofErr w:type="gramEnd"/>
      <w:r w:rsidRPr="00CD3820">
        <w:t xml:space="preserve">. </w:t>
      </w:r>
    </w:p>
    <w:p w:rsidR="00E07862" w:rsidRPr="00CD3820" w:rsidRDefault="00E07862" w:rsidP="00E07862">
      <w:r w:rsidRPr="00CD3820">
        <w:t xml:space="preserve">    </w:t>
      </w:r>
    </w:p>
    <w:p w:rsidR="00E07862" w:rsidRPr="00CD3820" w:rsidRDefault="00E07862" w:rsidP="00E07862">
      <w:r w:rsidRPr="00CD3820">
        <w:t xml:space="preserve">         ** These indicators are fully or partly included in NSO’s list of socio-economic indicators (bounded in 48 groups) that are reflected in the</w:t>
      </w:r>
    </w:p>
    <w:p w:rsidR="00E07862" w:rsidRPr="00CD3820" w:rsidRDefault="00E07862" w:rsidP="00E07862">
      <w:r w:rsidRPr="00CD3820">
        <w:t xml:space="preserve">              </w:t>
      </w:r>
      <w:proofErr w:type="gramStart"/>
      <w:r w:rsidRPr="00CD3820">
        <w:t>Statistical Law.</w:t>
      </w:r>
      <w:proofErr w:type="gramEnd"/>
      <w:r w:rsidRPr="00CD3820">
        <w:t xml:space="preserve"> </w:t>
      </w:r>
    </w:p>
    <w:p w:rsidR="007A73B1" w:rsidRPr="00CD3820" w:rsidRDefault="007A73B1" w:rsidP="00A92BA4">
      <w:pPr>
        <w:jc w:val="both"/>
      </w:pPr>
      <w:bookmarkStart w:id="5" w:name="_GoBack"/>
      <w:bookmarkEnd w:id="5"/>
    </w:p>
    <w:sectPr w:rsidR="007A73B1" w:rsidRPr="00CD3820" w:rsidSect="00E07862">
      <w:pgSz w:w="16838" w:h="11906" w:orient="landscape" w:code="9"/>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CC4" w:rsidRDefault="00BD0CC4" w:rsidP="00583DC1">
      <w:r>
        <w:separator/>
      </w:r>
    </w:p>
  </w:endnote>
  <w:endnote w:type="continuationSeparator" w:id="0">
    <w:p w:rsidR="00BD0CC4" w:rsidRDefault="00BD0CC4" w:rsidP="00583D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25603"/>
      <w:docPartObj>
        <w:docPartGallery w:val="Page Numbers (Bottom of Page)"/>
        <w:docPartUnique/>
      </w:docPartObj>
    </w:sdtPr>
    <w:sdtContent>
      <w:p w:rsidR="007637BD" w:rsidRDefault="007637BD">
        <w:pPr>
          <w:pStyle w:val="Footer"/>
          <w:jc w:val="center"/>
        </w:pPr>
        <w:fldSimple w:instr=" PAGE   \* MERGEFORMAT ">
          <w:r>
            <w:rPr>
              <w:noProof/>
            </w:rPr>
            <w:t>9</w:t>
          </w:r>
        </w:fldSimple>
      </w:p>
    </w:sdtContent>
  </w:sdt>
  <w:p w:rsidR="007637BD" w:rsidRDefault="007637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CC4" w:rsidRDefault="00BD0CC4" w:rsidP="00583DC1">
      <w:r>
        <w:separator/>
      </w:r>
    </w:p>
  </w:footnote>
  <w:footnote w:type="continuationSeparator" w:id="0">
    <w:p w:rsidR="00BD0CC4" w:rsidRDefault="00BD0CC4" w:rsidP="00583DC1">
      <w:r>
        <w:continuationSeparator/>
      </w:r>
    </w:p>
  </w:footnote>
  <w:footnote w:id="1">
    <w:p w:rsidR="00051465" w:rsidRPr="00627EF9" w:rsidRDefault="00051465" w:rsidP="00051465">
      <w:pPr>
        <w:autoSpaceDE w:val="0"/>
        <w:autoSpaceDN w:val="0"/>
        <w:adjustRightInd w:val="0"/>
        <w:jc w:val="both"/>
        <w:rPr>
          <w:sz w:val="20"/>
          <w:szCs w:val="20"/>
        </w:rPr>
      </w:pPr>
      <w:r w:rsidRPr="00627EF9">
        <w:rPr>
          <w:rStyle w:val="FootnoteReference"/>
          <w:sz w:val="20"/>
          <w:szCs w:val="20"/>
        </w:rPr>
        <w:footnoteRef/>
      </w:r>
      <w:r w:rsidRPr="00627EF9">
        <w:rPr>
          <w:sz w:val="20"/>
          <w:szCs w:val="20"/>
        </w:rPr>
        <w:t xml:space="preserve"> </w:t>
      </w:r>
      <w:r w:rsidRPr="00627EF9">
        <w:rPr>
          <w:color w:val="000000"/>
          <w:sz w:val="20"/>
          <w:szCs w:val="20"/>
          <w:lang w:eastAsia="fr-CA"/>
        </w:rPr>
        <w:t>This project was funded</w:t>
      </w:r>
      <w:r>
        <w:rPr>
          <w:color w:val="000000"/>
          <w:sz w:val="20"/>
          <w:szCs w:val="20"/>
          <w:lang w:eastAsia="fr-CA"/>
        </w:rPr>
        <w:t xml:space="preserve"> jointly</w:t>
      </w:r>
      <w:r w:rsidRPr="00627EF9">
        <w:rPr>
          <w:color w:val="000000"/>
          <w:sz w:val="20"/>
          <w:szCs w:val="20"/>
          <w:lang w:eastAsia="fr-CA"/>
        </w:rPr>
        <w:t xml:space="preserve"> by the United Nation Development </w:t>
      </w:r>
      <w:proofErr w:type="spellStart"/>
      <w:r w:rsidRPr="00627EF9">
        <w:rPr>
          <w:color w:val="000000"/>
          <w:sz w:val="20"/>
          <w:szCs w:val="20"/>
          <w:lang w:eastAsia="fr-CA"/>
        </w:rPr>
        <w:t>Programme</w:t>
      </w:r>
      <w:proofErr w:type="spellEnd"/>
      <w:r w:rsidRPr="00627EF9">
        <w:rPr>
          <w:color w:val="000000"/>
          <w:sz w:val="20"/>
          <w:szCs w:val="20"/>
          <w:lang w:eastAsia="fr-CA"/>
        </w:rPr>
        <w:t xml:space="preserve"> (UNDP)</w:t>
      </w:r>
      <w:r>
        <w:rPr>
          <w:color w:val="000000"/>
          <w:sz w:val="20"/>
          <w:szCs w:val="20"/>
          <w:lang w:eastAsia="fr-CA"/>
        </w:rPr>
        <w:t xml:space="preserve"> and the United Nations Environment </w:t>
      </w:r>
      <w:proofErr w:type="spellStart"/>
      <w:r>
        <w:rPr>
          <w:color w:val="000000"/>
          <w:sz w:val="20"/>
          <w:szCs w:val="20"/>
          <w:lang w:eastAsia="fr-CA"/>
        </w:rPr>
        <w:t>Program</w:t>
      </w:r>
      <w:r w:rsidR="003823D9">
        <w:rPr>
          <w:color w:val="000000"/>
          <w:sz w:val="20"/>
          <w:szCs w:val="20"/>
          <w:lang w:eastAsia="fr-CA"/>
        </w:rPr>
        <w:t>me</w:t>
      </w:r>
      <w:proofErr w:type="spellEnd"/>
      <w:r w:rsidRPr="00627EF9">
        <w:rPr>
          <w:color w:val="000000"/>
          <w:sz w:val="20"/>
          <w:szCs w:val="20"/>
          <w:lang w:eastAsia="fr-CA"/>
        </w:rPr>
        <w:t xml:space="preserve">, under the supervision of </w:t>
      </w:r>
      <w:r w:rsidRPr="00627EF9">
        <w:rPr>
          <w:color w:val="333333"/>
          <w:sz w:val="20"/>
          <w:szCs w:val="20"/>
        </w:rPr>
        <w:t xml:space="preserve">Ms. </w:t>
      </w:r>
      <w:proofErr w:type="spellStart"/>
      <w:r w:rsidRPr="00627EF9">
        <w:rPr>
          <w:color w:val="333333"/>
          <w:sz w:val="20"/>
          <w:szCs w:val="20"/>
        </w:rPr>
        <w:t>Beate</w:t>
      </w:r>
      <w:proofErr w:type="spellEnd"/>
      <w:r w:rsidRPr="00627EF9">
        <w:rPr>
          <w:color w:val="333333"/>
          <w:sz w:val="20"/>
          <w:szCs w:val="20"/>
        </w:rPr>
        <w:t xml:space="preserve"> </w:t>
      </w:r>
      <w:proofErr w:type="spellStart"/>
      <w:r w:rsidRPr="00627EF9">
        <w:rPr>
          <w:color w:val="333333"/>
          <w:sz w:val="20"/>
          <w:szCs w:val="20"/>
        </w:rPr>
        <w:t>Trankmann</w:t>
      </w:r>
      <w:proofErr w:type="spellEnd"/>
      <w:r w:rsidRPr="00627EF9">
        <w:rPr>
          <w:sz w:val="20"/>
          <w:szCs w:val="20"/>
          <w:lang w:eastAsia="fr-CA"/>
        </w:rPr>
        <w:t xml:space="preserve">, UNDP Resident Representative, </w:t>
      </w:r>
      <w:r w:rsidRPr="00627EF9">
        <w:rPr>
          <w:color w:val="333333"/>
          <w:sz w:val="20"/>
          <w:szCs w:val="20"/>
        </w:rPr>
        <w:t xml:space="preserve">Mr. Thomas Eriksson UNDP’s Deputy Resident Representative, and Ms. </w:t>
      </w:r>
      <w:proofErr w:type="spellStart"/>
      <w:r w:rsidRPr="00627EF9">
        <w:rPr>
          <w:color w:val="333333"/>
          <w:sz w:val="20"/>
          <w:szCs w:val="20"/>
        </w:rPr>
        <w:t>Doljinsuren</w:t>
      </w:r>
      <w:proofErr w:type="spellEnd"/>
      <w:r w:rsidRPr="00627EF9">
        <w:rPr>
          <w:color w:val="333333"/>
          <w:sz w:val="20"/>
          <w:szCs w:val="20"/>
        </w:rPr>
        <w:t xml:space="preserve"> </w:t>
      </w:r>
      <w:proofErr w:type="spellStart"/>
      <w:r w:rsidRPr="00627EF9">
        <w:rPr>
          <w:color w:val="333333"/>
          <w:sz w:val="20"/>
          <w:szCs w:val="20"/>
        </w:rPr>
        <w:t>Jambal</w:t>
      </w:r>
      <w:proofErr w:type="spellEnd"/>
      <w:r w:rsidRPr="00627EF9">
        <w:rPr>
          <w:color w:val="333333"/>
          <w:sz w:val="20"/>
          <w:szCs w:val="20"/>
        </w:rPr>
        <w:t>,</w:t>
      </w:r>
      <w:r w:rsidRPr="00627EF9">
        <w:rPr>
          <w:sz w:val="20"/>
          <w:szCs w:val="20"/>
          <w:lang w:eastAsia="fr-CA"/>
        </w:rPr>
        <w:t xml:space="preserve"> Team Leader.  We thank them for making </w:t>
      </w:r>
      <w:r w:rsidRPr="00627EF9">
        <w:rPr>
          <w:color w:val="000000"/>
          <w:sz w:val="20"/>
          <w:szCs w:val="20"/>
          <w:lang w:eastAsia="fr-CA"/>
        </w:rPr>
        <w:t>that project possible.</w:t>
      </w:r>
      <w:r w:rsidRPr="00627EF9">
        <w:rPr>
          <w:sz w:val="20"/>
          <w:szCs w:val="20"/>
          <w:lang w:eastAsia="fr-CA"/>
        </w:rPr>
        <w:t xml:space="preserve">  </w:t>
      </w:r>
      <w:r w:rsidRPr="00627EF9">
        <w:rPr>
          <w:sz w:val="20"/>
          <w:szCs w:val="20"/>
        </w:rPr>
        <w:t xml:space="preserve">This work could not had been done without the full support from a long list of people, Ms. </w:t>
      </w:r>
      <w:proofErr w:type="spellStart"/>
      <w:r w:rsidRPr="00627EF9">
        <w:rPr>
          <w:sz w:val="20"/>
          <w:szCs w:val="20"/>
        </w:rPr>
        <w:t>Badamtsetseg</w:t>
      </w:r>
      <w:proofErr w:type="spellEnd"/>
      <w:r w:rsidRPr="00627EF9">
        <w:rPr>
          <w:sz w:val="20"/>
          <w:szCs w:val="20"/>
        </w:rPr>
        <w:t xml:space="preserve">, Ms. </w:t>
      </w:r>
      <w:proofErr w:type="spellStart"/>
      <w:r w:rsidRPr="00627EF9">
        <w:rPr>
          <w:sz w:val="20"/>
          <w:szCs w:val="20"/>
        </w:rPr>
        <w:t>Oyunjargal</w:t>
      </w:r>
      <w:proofErr w:type="spellEnd"/>
      <w:r w:rsidRPr="00627EF9">
        <w:rPr>
          <w:sz w:val="20"/>
          <w:szCs w:val="20"/>
        </w:rPr>
        <w:t xml:space="preserve">, Ms. </w:t>
      </w:r>
      <w:proofErr w:type="spellStart"/>
      <w:r w:rsidRPr="00627EF9">
        <w:rPr>
          <w:sz w:val="20"/>
          <w:szCs w:val="20"/>
        </w:rPr>
        <w:t>Dulmaa</w:t>
      </w:r>
      <w:proofErr w:type="spellEnd"/>
      <w:r w:rsidRPr="00627EF9">
        <w:rPr>
          <w:sz w:val="20"/>
          <w:szCs w:val="20"/>
        </w:rPr>
        <w:t xml:space="preserve">, Ms. </w:t>
      </w:r>
      <w:proofErr w:type="spellStart"/>
      <w:r w:rsidRPr="00627EF9">
        <w:rPr>
          <w:sz w:val="20"/>
          <w:szCs w:val="20"/>
        </w:rPr>
        <w:t>Batzorigt</w:t>
      </w:r>
      <w:proofErr w:type="spellEnd"/>
      <w:r w:rsidRPr="00627EF9">
        <w:rPr>
          <w:sz w:val="20"/>
          <w:szCs w:val="20"/>
        </w:rPr>
        <w:t xml:space="preserve"> and other staff from NSO.</w:t>
      </w:r>
      <w:r>
        <w:rPr>
          <w:sz w:val="20"/>
          <w:szCs w:val="20"/>
        </w:rPr>
        <w:t xml:space="preserve"> The exercise also benefitted from discussions with UNICEF, UNFPA and ILO staff. </w:t>
      </w:r>
      <w:r w:rsidRPr="00627EF9">
        <w:rPr>
          <w:sz w:val="20"/>
          <w:szCs w:val="20"/>
        </w:rPr>
        <w:t xml:space="preserve"> </w:t>
      </w:r>
      <w:r w:rsidRPr="00627EF9">
        <w:rPr>
          <w:color w:val="000000"/>
          <w:sz w:val="20"/>
          <w:szCs w:val="20"/>
          <w:lang w:eastAsia="fr-CA"/>
        </w:rPr>
        <w:t xml:space="preserve">The authors can be reached at respectively </w:t>
      </w:r>
      <w:hyperlink r:id="rId1" w:history="1">
        <w:r w:rsidRPr="00627EF9">
          <w:rPr>
            <w:rStyle w:val="Hyperlink"/>
            <w:sz w:val="20"/>
            <w:szCs w:val="20"/>
            <w:lang w:eastAsia="fr-CA"/>
          </w:rPr>
          <w:t>nosor42@yahoo.com</w:t>
        </w:r>
      </w:hyperlink>
      <w:r w:rsidRPr="00627EF9">
        <w:rPr>
          <w:color w:val="000000"/>
          <w:sz w:val="20"/>
          <w:szCs w:val="20"/>
          <w:lang w:eastAsia="fr-CA"/>
        </w:rPr>
        <w:t xml:space="preserve"> and </w:t>
      </w:r>
      <w:hyperlink r:id="rId2" w:history="1">
        <w:r w:rsidRPr="00627EF9">
          <w:rPr>
            <w:rStyle w:val="Hyperlink"/>
            <w:sz w:val="20"/>
            <w:szCs w:val="20"/>
            <w:lang w:eastAsia="fr-CA"/>
          </w:rPr>
          <w:t>harold.coulombe@gmail.com</w:t>
        </w:r>
      </w:hyperlink>
      <w:r w:rsidRPr="00627EF9">
        <w:rPr>
          <w:color w:val="000000"/>
          <w:sz w:val="20"/>
          <w:szCs w:val="20"/>
          <w:lang w:eastAsia="fr-CA"/>
        </w:rPr>
        <w:t>.</w:t>
      </w:r>
    </w:p>
  </w:footnote>
  <w:footnote w:id="2">
    <w:p w:rsidR="00051465" w:rsidRPr="00627EF9" w:rsidRDefault="00051465" w:rsidP="00627EF9">
      <w:pPr>
        <w:jc w:val="both"/>
        <w:rPr>
          <w:sz w:val="20"/>
          <w:szCs w:val="20"/>
        </w:rPr>
      </w:pPr>
      <w:r w:rsidRPr="00627EF9">
        <w:rPr>
          <w:rStyle w:val="FootnoteReference"/>
          <w:sz w:val="20"/>
          <w:szCs w:val="20"/>
        </w:rPr>
        <w:footnoteRef/>
      </w:r>
      <w:r w:rsidRPr="00627EF9">
        <w:rPr>
          <w:sz w:val="20"/>
          <w:szCs w:val="20"/>
        </w:rPr>
        <w:t xml:space="preserve"> Much information on the whole process can be found on the IAEG-SDG website; </w:t>
      </w:r>
      <w:hyperlink r:id="rId3" w:history="1">
        <w:r w:rsidRPr="00627EF9">
          <w:rPr>
            <w:rStyle w:val="Hyperlink"/>
            <w:sz w:val="20"/>
            <w:szCs w:val="20"/>
          </w:rPr>
          <w:t>http://unstats.un.org/sdgs/iaeg-sdgs/</w:t>
        </w:r>
      </w:hyperlink>
    </w:p>
  </w:footnote>
  <w:footnote w:id="3">
    <w:p w:rsidR="00051465" w:rsidRPr="00627EF9" w:rsidRDefault="00051465" w:rsidP="00627EF9">
      <w:pPr>
        <w:pStyle w:val="FootnoteText"/>
        <w:jc w:val="both"/>
        <w:rPr>
          <w:lang w:val="en-CA"/>
        </w:rPr>
      </w:pPr>
      <w:r w:rsidRPr="00627EF9">
        <w:rPr>
          <w:rStyle w:val="FootnoteReference"/>
        </w:rPr>
        <w:footnoteRef/>
      </w:r>
      <w:r w:rsidRPr="00627EF9">
        <w:t xml:space="preserve"> </w:t>
      </w:r>
      <w:r w:rsidRPr="00627EF9">
        <w:rPr>
          <w:rStyle w:val="apple-converted-space"/>
          <w:color w:val="252525"/>
          <w:shd w:val="clear" w:color="auto" w:fill="FFFFFF"/>
        </w:rPr>
        <w:t> </w:t>
      </w:r>
      <w:hyperlink r:id="rId4" w:history="1">
        <w:proofErr w:type="gramStart"/>
        <w:r w:rsidRPr="00627EF9">
          <w:rPr>
            <w:rStyle w:val="Hyperlink"/>
            <w:color w:val="663366"/>
            <w:shd w:val="clear" w:color="auto" w:fill="FFFFFF"/>
          </w:rPr>
          <w:t>"Technical report by the Bureau of the United Nations Statistical Commission (UNSC) on the process of the development of an indicator framework for the goals and targets of the post-2015 development agenda - working draft"</w:t>
        </w:r>
      </w:hyperlink>
      <w:r w:rsidRPr="00627EF9">
        <w:rPr>
          <w:rStyle w:val="apple-converted-space"/>
          <w:color w:val="252525"/>
          <w:shd w:val="clear" w:color="auto" w:fill="FFFFFF"/>
        </w:rPr>
        <w:t> </w:t>
      </w:r>
      <w:r w:rsidRPr="00627EF9">
        <w:rPr>
          <w:rStyle w:val="citation"/>
          <w:color w:val="252525"/>
          <w:shd w:val="clear" w:color="auto" w:fill="FFFFFF"/>
        </w:rPr>
        <w:t>(PDF).</w:t>
      </w:r>
      <w:proofErr w:type="gramEnd"/>
      <w:r w:rsidRPr="00627EF9">
        <w:rPr>
          <w:rStyle w:val="citation"/>
          <w:color w:val="252525"/>
          <w:shd w:val="clear" w:color="auto" w:fill="FFFFFF"/>
        </w:rPr>
        <w:t xml:space="preserve"> March 2015.</w:t>
      </w:r>
    </w:p>
  </w:footnote>
  <w:footnote w:id="4">
    <w:p w:rsidR="00051465" w:rsidRPr="00627EF9" w:rsidRDefault="00051465" w:rsidP="00627EF9">
      <w:pPr>
        <w:pStyle w:val="FootnoteText"/>
        <w:jc w:val="both"/>
      </w:pPr>
      <w:r w:rsidRPr="00627EF9">
        <w:rPr>
          <w:rStyle w:val="FootnoteReference"/>
        </w:rPr>
        <w:footnoteRef/>
      </w:r>
      <w:r w:rsidRPr="00627EF9">
        <w:t xml:space="preserve"> “Results of the list of indicators reviewed at the second IAEG-SDG meeting” that can be found at </w:t>
      </w:r>
      <w:hyperlink r:id="rId5" w:history="1">
        <w:r w:rsidRPr="00627EF9">
          <w:rPr>
            <w:rStyle w:val="Hyperlink"/>
          </w:rPr>
          <w:t>http://unstats.un.org/sdgs/files/meetings/iaeg-sdgs-meeting-02/Outcomes/Agenda%20Item%204%20-%20Review%20of%20proposed%20indicators%20-%202%20Nov%202015.pdf</w:t>
        </w:r>
      </w:hyperlink>
      <w:r w:rsidRPr="00627EF9">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abstractNum w:abstractNumId="0">
    <w:nsid w:val="068A1316"/>
    <w:multiLevelType w:val="multilevel"/>
    <w:tmpl w:val="D0AE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76BB4"/>
    <w:multiLevelType w:val="hybridMultilevel"/>
    <w:tmpl w:val="564E4606"/>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9511C"/>
    <w:multiLevelType w:val="hybridMultilevel"/>
    <w:tmpl w:val="C30C2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7B4D85"/>
    <w:multiLevelType w:val="multilevel"/>
    <w:tmpl w:val="69F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A52CC9"/>
    <w:multiLevelType w:val="hybridMultilevel"/>
    <w:tmpl w:val="26AC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C38A9"/>
    <w:multiLevelType w:val="hybridMultilevel"/>
    <w:tmpl w:val="6DBC3190"/>
    <w:lvl w:ilvl="0" w:tplc="B486E6C4">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73DE"/>
    <w:multiLevelType w:val="hybridMultilevel"/>
    <w:tmpl w:val="C2ACE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928552F"/>
    <w:multiLevelType w:val="hybridMultilevel"/>
    <w:tmpl w:val="AB9E7130"/>
    <w:lvl w:ilvl="0" w:tplc="C79A0DB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D018B3"/>
    <w:multiLevelType w:val="hybridMultilevel"/>
    <w:tmpl w:val="A5B6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32D99"/>
    <w:multiLevelType w:val="multilevel"/>
    <w:tmpl w:val="EFD8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CF5EF0"/>
    <w:multiLevelType w:val="hybridMultilevel"/>
    <w:tmpl w:val="603C33D8"/>
    <w:lvl w:ilvl="0" w:tplc="6DD860C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34638"/>
    <w:multiLevelType w:val="hybridMultilevel"/>
    <w:tmpl w:val="9F32E71C"/>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35926"/>
    <w:multiLevelType w:val="hybridMultilevel"/>
    <w:tmpl w:val="F228A438"/>
    <w:lvl w:ilvl="0" w:tplc="6C182BFE">
      <w:start w:val="1"/>
      <w:numFmt w:val="bullet"/>
      <w:lvlText w:val=""/>
      <w:lvlJc w:val="left"/>
      <w:pPr>
        <w:ind w:left="720" w:hanging="360"/>
      </w:pPr>
      <w:rPr>
        <w:rFonts w:ascii="Symbol" w:hAnsi="Symbol" w:hint="default"/>
        <w:lang w:val="fr-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8A03723"/>
    <w:multiLevelType w:val="multilevel"/>
    <w:tmpl w:val="15AC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1E7549"/>
    <w:multiLevelType w:val="multilevel"/>
    <w:tmpl w:val="938A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373558"/>
    <w:multiLevelType w:val="multilevel"/>
    <w:tmpl w:val="6CC2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731077"/>
    <w:multiLevelType w:val="multilevel"/>
    <w:tmpl w:val="A35C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E8314BC"/>
    <w:multiLevelType w:val="multilevel"/>
    <w:tmpl w:val="6F24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57597E"/>
    <w:multiLevelType w:val="hybridMultilevel"/>
    <w:tmpl w:val="F744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53088"/>
    <w:multiLevelType w:val="hybridMultilevel"/>
    <w:tmpl w:val="FEB86C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AA21D2C"/>
    <w:multiLevelType w:val="hybridMultilevel"/>
    <w:tmpl w:val="9EA49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B7B0D6C"/>
    <w:multiLevelType w:val="hybridMultilevel"/>
    <w:tmpl w:val="537E867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D180D33"/>
    <w:multiLevelType w:val="hybridMultilevel"/>
    <w:tmpl w:val="2E90A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6D7D7F"/>
    <w:multiLevelType w:val="multilevel"/>
    <w:tmpl w:val="AD92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F85267"/>
    <w:multiLevelType w:val="multilevel"/>
    <w:tmpl w:val="E72A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1D33FF"/>
    <w:multiLevelType w:val="hybridMultilevel"/>
    <w:tmpl w:val="D744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417C32"/>
    <w:multiLevelType w:val="multilevel"/>
    <w:tmpl w:val="AD7C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305DEC"/>
    <w:multiLevelType w:val="multilevel"/>
    <w:tmpl w:val="E6D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3E31FA"/>
    <w:multiLevelType w:val="hybridMultilevel"/>
    <w:tmpl w:val="268AE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D432B57"/>
    <w:multiLevelType w:val="hybridMultilevel"/>
    <w:tmpl w:val="C756DDB8"/>
    <w:lvl w:ilvl="0" w:tplc="0400C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353D99"/>
    <w:multiLevelType w:val="multilevel"/>
    <w:tmpl w:val="B972D90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1FA7CE0"/>
    <w:multiLevelType w:val="hybridMultilevel"/>
    <w:tmpl w:val="F5C0629A"/>
    <w:lvl w:ilvl="0" w:tplc="20DA9E9E">
      <w:start w:val="1"/>
      <w:numFmt w:val="bullet"/>
      <w:lvlText w:val=""/>
      <w:lvlJc w:val="left"/>
      <w:pPr>
        <w:tabs>
          <w:tab w:val="num" w:pos="720"/>
        </w:tabs>
        <w:ind w:left="720" w:hanging="360"/>
      </w:pPr>
      <w:rPr>
        <w:rFonts w:ascii="Wingdings 2" w:hAnsi="Wingdings 2" w:hint="default"/>
      </w:rPr>
    </w:lvl>
    <w:lvl w:ilvl="1" w:tplc="BF00E0C2" w:tentative="1">
      <w:start w:val="1"/>
      <w:numFmt w:val="bullet"/>
      <w:lvlText w:val=""/>
      <w:lvlJc w:val="left"/>
      <w:pPr>
        <w:tabs>
          <w:tab w:val="num" w:pos="1440"/>
        </w:tabs>
        <w:ind w:left="1440" w:hanging="360"/>
      </w:pPr>
      <w:rPr>
        <w:rFonts w:ascii="Wingdings 2" w:hAnsi="Wingdings 2" w:hint="default"/>
      </w:rPr>
    </w:lvl>
    <w:lvl w:ilvl="2" w:tplc="313A0764" w:tentative="1">
      <w:start w:val="1"/>
      <w:numFmt w:val="bullet"/>
      <w:lvlText w:val=""/>
      <w:lvlJc w:val="left"/>
      <w:pPr>
        <w:tabs>
          <w:tab w:val="num" w:pos="2160"/>
        </w:tabs>
        <w:ind w:left="2160" w:hanging="360"/>
      </w:pPr>
      <w:rPr>
        <w:rFonts w:ascii="Wingdings 2" w:hAnsi="Wingdings 2" w:hint="default"/>
      </w:rPr>
    </w:lvl>
    <w:lvl w:ilvl="3" w:tplc="FF2AB0E4" w:tentative="1">
      <w:start w:val="1"/>
      <w:numFmt w:val="bullet"/>
      <w:lvlText w:val=""/>
      <w:lvlJc w:val="left"/>
      <w:pPr>
        <w:tabs>
          <w:tab w:val="num" w:pos="2880"/>
        </w:tabs>
        <w:ind w:left="2880" w:hanging="360"/>
      </w:pPr>
      <w:rPr>
        <w:rFonts w:ascii="Wingdings 2" w:hAnsi="Wingdings 2" w:hint="default"/>
      </w:rPr>
    </w:lvl>
    <w:lvl w:ilvl="4" w:tplc="C7FA6990" w:tentative="1">
      <w:start w:val="1"/>
      <w:numFmt w:val="bullet"/>
      <w:lvlText w:val=""/>
      <w:lvlJc w:val="left"/>
      <w:pPr>
        <w:tabs>
          <w:tab w:val="num" w:pos="3600"/>
        </w:tabs>
        <w:ind w:left="3600" w:hanging="360"/>
      </w:pPr>
      <w:rPr>
        <w:rFonts w:ascii="Wingdings 2" w:hAnsi="Wingdings 2" w:hint="default"/>
      </w:rPr>
    </w:lvl>
    <w:lvl w:ilvl="5" w:tplc="1CAAE6C0" w:tentative="1">
      <w:start w:val="1"/>
      <w:numFmt w:val="bullet"/>
      <w:lvlText w:val=""/>
      <w:lvlJc w:val="left"/>
      <w:pPr>
        <w:tabs>
          <w:tab w:val="num" w:pos="4320"/>
        </w:tabs>
        <w:ind w:left="4320" w:hanging="360"/>
      </w:pPr>
      <w:rPr>
        <w:rFonts w:ascii="Wingdings 2" w:hAnsi="Wingdings 2" w:hint="default"/>
      </w:rPr>
    </w:lvl>
    <w:lvl w:ilvl="6" w:tplc="F578BB32" w:tentative="1">
      <w:start w:val="1"/>
      <w:numFmt w:val="bullet"/>
      <w:lvlText w:val=""/>
      <w:lvlJc w:val="left"/>
      <w:pPr>
        <w:tabs>
          <w:tab w:val="num" w:pos="5040"/>
        </w:tabs>
        <w:ind w:left="5040" w:hanging="360"/>
      </w:pPr>
      <w:rPr>
        <w:rFonts w:ascii="Wingdings 2" w:hAnsi="Wingdings 2" w:hint="default"/>
      </w:rPr>
    </w:lvl>
    <w:lvl w:ilvl="7" w:tplc="2638818A" w:tentative="1">
      <w:start w:val="1"/>
      <w:numFmt w:val="bullet"/>
      <w:lvlText w:val=""/>
      <w:lvlJc w:val="left"/>
      <w:pPr>
        <w:tabs>
          <w:tab w:val="num" w:pos="5760"/>
        </w:tabs>
        <w:ind w:left="5760" w:hanging="360"/>
      </w:pPr>
      <w:rPr>
        <w:rFonts w:ascii="Wingdings 2" w:hAnsi="Wingdings 2" w:hint="default"/>
      </w:rPr>
    </w:lvl>
    <w:lvl w:ilvl="8" w:tplc="F43A204A" w:tentative="1">
      <w:start w:val="1"/>
      <w:numFmt w:val="bullet"/>
      <w:lvlText w:val=""/>
      <w:lvlJc w:val="left"/>
      <w:pPr>
        <w:tabs>
          <w:tab w:val="num" w:pos="6480"/>
        </w:tabs>
        <w:ind w:left="6480" w:hanging="360"/>
      </w:pPr>
      <w:rPr>
        <w:rFonts w:ascii="Wingdings 2" w:hAnsi="Wingdings 2" w:hint="default"/>
      </w:rPr>
    </w:lvl>
  </w:abstractNum>
  <w:abstractNum w:abstractNumId="32">
    <w:nsid w:val="62825CA2"/>
    <w:multiLevelType w:val="hybridMultilevel"/>
    <w:tmpl w:val="D6E6A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5054099"/>
    <w:multiLevelType w:val="hybridMultilevel"/>
    <w:tmpl w:val="D41C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713E1D"/>
    <w:multiLevelType w:val="multilevel"/>
    <w:tmpl w:val="516E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6AB003F"/>
    <w:multiLevelType w:val="hybridMultilevel"/>
    <w:tmpl w:val="5670736E"/>
    <w:lvl w:ilvl="0" w:tplc="04090001">
      <w:start w:val="1"/>
      <w:numFmt w:val="bullet"/>
      <w:lvlText w:val=""/>
      <w:lvlJc w:val="left"/>
      <w:pPr>
        <w:tabs>
          <w:tab w:val="num" w:pos="720"/>
        </w:tabs>
        <w:ind w:left="720" w:hanging="360"/>
      </w:pPr>
      <w:rPr>
        <w:rFonts w:ascii="Symbol" w:hAnsi="Symbol" w:hint="default"/>
      </w:rPr>
    </w:lvl>
    <w:lvl w:ilvl="1" w:tplc="79AE6EB2">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8F07C1"/>
    <w:multiLevelType w:val="hybridMultilevel"/>
    <w:tmpl w:val="51221C2A"/>
    <w:lvl w:ilvl="0" w:tplc="3AC4041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0C478D"/>
    <w:multiLevelType w:val="multilevel"/>
    <w:tmpl w:val="62E8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821885"/>
    <w:multiLevelType w:val="hybridMultilevel"/>
    <w:tmpl w:val="512A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D95249"/>
    <w:multiLevelType w:val="hybridMultilevel"/>
    <w:tmpl w:val="472610B2"/>
    <w:lvl w:ilvl="0" w:tplc="D6B8F3B0">
      <w:start w:val="1"/>
      <w:numFmt w:val="decimal"/>
      <w:lvlText w:val="%1."/>
      <w:lvlJc w:val="left"/>
      <w:pPr>
        <w:ind w:left="720" w:hanging="360"/>
      </w:pPr>
      <w:rPr>
        <w:rFonts w:ascii="Arial" w:hAnsi="Arial" w:cs="Arial" w:hint="default"/>
        <w:color w:val="4A4A4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446072"/>
    <w:multiLevelType w:val="multilevel"/>
    <w:tmpl w:val="7EC4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E571D69"/>
    <w:multiLevelType w:val="hybridMultilevel"/>
    <w:tmpl w:val="4C7ED218"/>
    <w:lvl w:ilvl="0" w:tplc="F458751C">
      <w:start w:val="1"/>
      <w:numFmt w:val="decimal"/>
      <w:lvlText w:val="%1."/>
      <w:lvlJc w:val="left"/>
      <w:pPr>
        <w:ind w:left="720"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5"/>
  </w:num>
  <w:num w:numId="3">
    <w:abstractNumId w:val="0"/>
  </w:num>
  <w:num w:numId="4">
    <w:abstractNumId w:val="23"/>
  </w:num>
  <w:num w:numId="5">
    <w:abstractNumId w:val="15"/>
  </w:num>
  <w:num w:numId="6">
    <w:abstractNumId w:val="3"/>
  </w:num>
  <w:num w:numId="7">
    <w:abstractNumId w:val="30"/>
  </w:num>
  <w:num w:numId="8">
    <w:abstractNumId w:val="40"/>
  </w:num>
  <w:num w:numId="9">
    <w:abstractNumId w:val="26"/>
  </w:num>
  <w:num w:numId="10">
    <w:abstractNumId w:val="17"/>
  </w:num>
  <w:num w:numId="11">
    <w:abstractNumId w:val="9"/>
  </w:num>
  <w:num w:numId="12">
    <w:abstractNumId w:val="34"/>
  </w:num>
  <w:num w:numId="13">
    <w:abstractNumId w:val="16"/>
  </w:num>
  <w:num w:numId="14">
    <w:abstractNumId w:val="37"/>
  </w:num>
  <w:num w:numId="15">
    <w:abstractNumId w:val="24"/>
  </w:num>
  <w:num w:numId="16">
    <w:abstractNumId w:val="14"/>
  </w:num>
  <w:num w:numId="17">
    <w:abstractNumId w:val="27"/>
  </w:num>
  <w:num w:numId="18">
    <w:abstractNumId w:val="13"/>
  </w:num>
  <w:num w:numId="19">
    <w:abstractNumId w:val="19"/>
  </w:num>
  <w:num w:numId="20">
    <w:abstractNumId w:val="21"/>
  </w:num>
  <w:num w:numId="21">
    <w:abstractNumId w:val="2"/>
  </w:num>
  <w:num w:numId="22">
    <w:abstractNumId w:val="6"/>
  </w:num>
  <w:num w:numId="23">
    <w:abstractNumId w:val="20"/>
  </w:num>
  <w:num w:numId="24">
    <w:abstractNumId w:val="12"/>
  </w:num>
  <w:num w:numId="25">
    <w:abstractNumId w:val="32"/>
  </w:num>
  <w:num w:numId="26">
    <w:abstractNumId w:val="28"/>
  </w:num>
  <w:num w:numId="27">
    <w:abstractNumId w:val="7"/>
  </w:num>
  <w:num w:numId="28">
    <w:abstractNumId w:val="8"/>
  </w:num>
  <w:num w:numId="29">
    <w:abstractNumId w:val="25"/>
  </w:num>
  <w:num w:numId="30">
    <w:abstractNumId w:val="33"/>
  </w:num>
  <w:num w:numId="31">
    <w:abstractNumId w:val="10"/>
  </w:num>
  <w:num w:numId="32">
    <w:abstractNumId w:val="31"/>
  </w:num>
  <w:num w:numId="33">
    <w:abstractNumId w:val="5"/>
  </w:num>
  <w:num w:numId="34">
    <w:abstractNumId w:val="39"/>
  </w:num>
  <w:num w:numId="35">
    <w:abstractNumId w:val="29"/>
  </w:num>
  <w:num w:numId="36">
    <w:abstractNumId w:val="38"/>
  </w:num>
  <w:num w:numId="37">
    <w:abstractNumId w:val="11"/>
  </w:num>
  <w:num w:numId="38">
    <w:abstractNumId w:val="1"/>
  </w:num>
  <w:num w:numId="39">
    <w:abstractNumId w:val="4"/>
  </w:num>
  <w:num w:numId="40">
    <w:abstractNumId w:val="41"/>
  </w:num>
  <w:num w:numId="41">
    <w:abstractNumId w:val="18"/>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B36632"/>
    <w:rsid w:val="00001EF1"/>
    <w:rsid w:val="0000472B"/>
    <w:rsid w:val="0000561E"/>
    <w:rsid w:val="00007827"/>
    <w:rsid w:val="00016CB7"/>
    <w:rsid w:val="00020A8D"/>
    <w:rsid w:val="00023F01"/>
    <w:rsid w:val="00027906"/>
    <w:rsid w:val="00027BB8"/>
    <w:rsid w:val="00031FBC"/>
    <w:rsid w:val="00033659"/>
    <w:rsid w:val="000338DF"/>
    <w:rsid w:val="000360C2"/>
    <w:rsid w:val="00046C03"/>
    <w:rsid w:val="00051231"/>
    <w:rsid w:val="00051465"/>
    <w:rsid w:val="00064E53"/>
    <w:rsid w:val="00072FDB"/>
    <w:rsid w:val="00073771"/>
    <w:rsid w:val="00077771"/>
    <w:rsid w:val="00077BC7"/>
    <w:rsid w:val="00082A02"/>
    <w:rsid w:val="00082EB8"/>
    <w:rsid w:val="00083363"/>
    <w:rsid w:val="00094BA5"/>
    <w:rsid w:val="00095246"/>
    <w:rsid w:val="000A04AD"/>
    <w:rsid w:val="000A3FE2"/>
    <w:rsid w:val="000A6CB5"/>
    <w:rsid w:val="000B66A0"/>
    <w:rsid w:val="000B6C7B"/>
    <w:rsid w:val="000C2898"/>
    <w:rsid w:val="000C34FC"/>
    <w:rsid w:val="000C377B"/>
    <w:rsid w:val="000C470A"/>
    <w:rsid w:val="000C4CFD"/>
    <w:rsid w:val="000D0241"/>
    <w:rsid w:val="000D3CB8"/>
    <w:rsid w:val="000D77EB"/>
    <w:rsid w:val="000E124B"/>
    <w:rsid w:val="000E20AF"/>
    <w:rsid w:val="000E26AC"/>
    <w:rsid w:val="000E4401"/>
    <w:rsid w:val="000E6825"/>
    <w:rsid w:val="000E6F9C"/>
    <w:rsid w:val="000F05CA"/>
    <w:rsid w:val="000F3FE6"/>
    <w:rsid w:val="000F554D"/>
    <w:rsid w:val="001014F4"/>
    <w:rsid w:val="001021F4"/>
    <w:rsid w:val="00105CA2"/>
    <w:rsid w:val="00115819"/>
    <w:rsid w:val="0011713A"/>
    <w:rsid w:val="001171E4"/>
    <w:rsid w:val="00125359"/>
    <w:rsid w:val="00135880"/>
    <w:rsid w:val="00142BD2"/>
    <w:rsid w:val="0014546E"/>
    <w:rsid w:val="00145E86"/>
    <w:rsid w:val="001504A6"/>
    <w:rsid w:val="00150F4F"/>
    <w:rsid w:val="001511BB"/>
    <w:rsid w:val="0015382E"/>
    <w:rsid w:val="00157D69"/>
    <w:rsid w:val="00162A78"/>
    <w:rsid w:val="00166186"/>
    <w:rsid w:val="00173CFA"/>
    <w:rsid w:val="0017525A"/>
    <w:rsid w:val="00182A0B"/>
    <w:rsid w:val="001931FD"/>
    <w:rsid w:val="001A16A5"/>
    <w:rsid w:val="001A2D48"/>
    <w:rsid w:val="001A6659"/>
    <w:rsid w:val="001B79E3"/>
    <w:rsid w:val="001B7D49"/>
    <w:rsid w:val="001C1B6C"/>
    <w:rsid w:val="001C1E06"/>
    <w:rsid w:val="001C7468"/>
    <w:rsid w:val="001D307B"/>
    <w:rsid w:val="001E359B"/>
    <w:rsid w:val="001E3D2F"/>
    <w:rsid w:val="001E4F5D"/>
    <w:rsid w:val="001E5AF2"/>
    <w:rsid w:val="001E7427"/>
    <w:rsid w:val="001F01BF"/>
    <w:rsid w:val="002067F8"/>
    <w:rsid w:val="00210CF2"/>
    <w:rsid w:val="00213933"/>
    <w:rsid w:val="00214714"/>
    <w:rsid w:val="002208D8"/>
    <w:rsid w:val="00221B54"/>
    <w:rsid w:val="0023351B"/>
    <w:rsid w:val="00234105"/>
    <w:rsid w:val="002367BD"/>
    <w:rsid w:val="00236D7C"/>
    <w:rsid w:val="00243FCF"/>
    <w:rsid w:val="00257DBB"/>
    <w:rsid w:val="00264D3D"/>
    <w:rsid w:val="0026583A"/>
    <w:rsid w:val="0027228F"/>
    <w:rsid w:val="00272A31"/>
    <w:rsid w:val="00272CDE"/>
    <w:rsid w:val="002739B4"/>
    <w:rsid w:val="00275458"/>
    <w:rsid w:val="00282E70"/>
    <w:rsid w:val="002857B0"/>
    <w:rsid w:val="00285962"/>
    <w:rsid w:val="00286541"/>
    <w:rsid w:val="00296853"/>
    <w:rsid w:val="00297346"/>
    <w:rsid w:val="002973E2"/>
    <w:rsid w:val="002A0A44"/>
    <w:rsid w:val="002A0E42"/>
    <w:rsid w:val="002A3F1B"/>
    <w:rsid w:val="002A7679"/>
    <w:rsid w:val="002B2302"/>
    <w:rsid w:val="002B2B8F"/>
    <w:rsid w:val="002B3E45"/>
    <w:rsid w:val="002B4C8B"/>
    <w:rsid w:val="002B6288"/>
    <w:rsid w:val="002B7C61"/>
    <w:rsid w:val="002C344B"/>
    <w:rsid w:val="002D429F"/>
    <w:rsid w:val="002D4F01"/>
    <w:rsid w:val="002D7C43"/>
    <w:rsid w:val="002E2A71"/>
    <w:rsid w:val="002E5A1E"/>
    <w:rsid w:val="002E5FA7"/>
    <w:rsid w:val="002E6D96"/>
    <w:rsid w:val="002F1FAD"/>
    <w:rsid w:val="002F40F2"/>
    <w:rsid w:val="002F5DA0"/>
    <w:rsid w:val="003011BC"/>
    <w:rsid w:val="00302859"/>
    <w:rsid w:val="00304A1C"/>
    <w:rsid w:val="00310330"/>
    <w:rsid w:val="003152A3"/>
    <w:rsid w:val="00321E2C"/>
    <w:rsid w:val="003227A4"/>
    <w:rsid w:val="00324773"/>
    <w:rsid w:val="00325B2D"/>
    <w:rsid w:val="003278CB"/>
    <w:rsid w:val="00343830"/>
    <w:rsid w:val="00347C83"/>
    <w:rsid w:val="00352F82"/>
    <w:rsid w:val="003540DB"/>
    <w:rsid w:val="00363172"/>
    <w:rsid w:val="003717AB"/>
    <w:rsid w:val="00376ADB"/>
    <w:rsid w:val="00381281"/>
    <w:rsid w:val="003823D9"/>
    <w:rsid w:val="00387779"/>
    <w:rsid w:val="00392407"/>
    <w:rsid w:val="003A04D0"/>
    <w:rsid w:val="003A0F76"/>
    <w:rsid w:val="003C4C4F"/>
    <w:rsid w:val="003E4361"/>
    <w:rsid w:val="003E686F"/>
    <w:rsid w:val="003E6AC1"/>
    <w:rsid w:val="003F353B"/>
    <w:rsid w:val="0040253C"/>
    <w:rsid w:val="004028EC"/>
    <w:rsid w:val="00403086"/>
    <w:rsid w:val="00404F5F"/>
    <w:rsid w:val="004128BF"/>
    <w:rsid w:val="00413EF8"/>
    <w:rsid w:val="0041500C"/>
    <w:rsid w:val="00420BE7"/>
    <w:rsid w:val="004223D4"/>
    <w:rsid w:val="00423B85"/>
    <w:rsid w:val="00425CC5"/>
    <w:rsid w:val="004261E7"/>
    <w:rsid w:val="004377C0"/>
    <w:rsid w:val="00444D7B"/>
    <w:rsid w:val="004463E5"/>
    <w:rsid w:val="00446622"/>
    <w:rsid w:val="00446954"/>
    <w:rsid w:val="00454001"/>
    <w:rsid w:val="004709D6"/>
    <w:rsid w:val="004737A6"/>
    <w:rsid w:val="00475154"/>
    <w:rsid w:val="004759C3"/>
    <w:rsid w:val="00477FD0"/>
    <w:rsid w:val="0048019C"/>
    <w:rsid w:val="004835B5"/>
    <w:rsid w:val="00486031"/>
    <w:rsid w:val="004A2E69"/>
    <w:rsid w:val="004A3EC3"/>
    <w:rsid w:val="004B2878"/>
    <w:rsid w:val="004B3F60"/>
    <w:rsid w:val="004B673D"/>
    <w:rsid w:val="004C017C"/>
    <w:rsid w:val="004C652E"/>
    <w:rsid w:val="004E2BD6"/>
    <w:rsid w:val="004E4C48"/>
    <w:rsid w:val="004F091E"/>
    <w:rsid w:val="004F0B09"/>
    <w:rsid w:val="00502375"/>
    <w:rsid w:val="0050302F"/>
    <w:rsid w:val="00503E38"/>
    <w:rsid w:val="00517A8F"/>
    <w:rsid w:val="00520E68"/>
    <w:rsid w:val="00530274"/>
    <w:rsid w:val="0053207C"/>
    <w:rsid w:val="00540B85"/>
    <w:rsid w:val="00542CCF"/>
    <w:rsid w:val="00546122"/>
    <w:rsid w:val="00567407"/>
    <w:rsid w:val="00570CD5"/>
    <w:rsid w:val="005764A1"/>
    <w:rsid w:val="00576947"/>
    <w:rsid w:val="00581561"/>
    <w:rsid w:val="00583927"/>
    <w:rsid w:val="00583DC1"/>
    <w:rsid w:val="00590993"/>
    <w:rsid w:val="00594330"/>
    <w:rsid w:val="005957E4"/>
    <w:rsid w:val="00595ACB"/>
    <w:rsid w:val="005A220D"/>
    <w:rsid w:val="005A71FE"/>
    <w:rsid w:val="005B5F93"/>
    <w:rsid w:val="005B69EA"/>
    <w:rsid w:val="005C0651"/>
    <w:rsid w:val="005C3091"/>
    <w:rsid w:val="005D482F"/>
    <w:rsid w:val="005D4BB0"/>
    <w:rsid w:val="005D6E04"/>
    <w:rsid w:val="005E00D0"/>
    <w:rsid w:val="005E1147"/>
    <w:rsid w:val="005E2797"/>
    <w:rsid w:val="005E46F6"/>
    <w:rsid w:val="005E53F1"/>
    <w:rsid w:val="005E7C7F"/>
    <w:rsid w:val="00602ED5"/>
    <w:rsid w:val="00604640"/>
    <w:rsid w:val="00611BF1"/>
    <w:rsid w:val="0062277A"/>
    <w:rsid w:val="00627EF9"/>
    <w:rsid w:val="00631D63"/>
    <w:rsid w:val="006335B0"/>
    <w:rsid w:val="00640AA4"/>
    <w:rsid w:val="006459B3"/>
    <w:rsid w:val="006461CA"/>
    <w:rsid w:val="006510BD"/>
    <w:rsid w:val="00654215"/>
    <w:rsid w:val="006616F8"/>
    <w:rsid w:val="0066374F"/>
    <w:rsid w:val="0066395D"/>
    <w:rsid w:val="00665E5B"/>
    <w:rsid w:val="00670D87"/>
    <w:rsid w:val="00672C8E"/>
    <w:rsid w:val="00680E09"/>
    <w:rsid w:val="00683929"/>
    <w:rsid w:val="00687747"/>
    <w:rsid w:val="00690662"/>
    <w:rsid w:val="006925F8"/>
    <w:rsid w:val="006A1D36"/>
    <w:rsid w:val="006B042F"/>
    <w:rsid w:val="006B1B0E"/>
    <w:rsid w:val="006B2023"/>
    <w:rsid w:val="006B7059"/>
    <w:rsid w:val="006B7DEA"/>
    <w:rsid w:val="006C76A8"/>
    <w:rsid w:val="006D3292"/>
    <w:rsid w:val="006D57CF"/>
    <w:rsid w:val="006D5883"/>
    <w:rsid w:val="006E068B"/>
    <w:rsid w:val="006E1208"/>
    <w:rsid w:val="006E2C08"/>
    <w:rsid w:val="006F1477"/>
    <w:rsid w:val="006F1BC8"/>
    <w:rsid w:val="006F6CED"/>
    <w:rsid w:val="00705E10"/>
    <w:rsid w:val="007125A6"/>
    <w:rsid w:val="00717C14"/>
    <w:rsid w:val="007247AB"/>
    <w:rsid w:val="00724D54"/>
    <w:rsid w:val="00725381"/>
    <w:rsid w:val="00735CFA"/>
    <w:rsid w:val="00735D1D"/>
    <w:rsid w:val="00736CDA"/>
    <w:rsid w:val="0074074A"/>
    <w:rsid w:val="00741063"/>
    <w:rsid w:val="00742CD9"/>
    <w:rsid w:val="00746114"/>
    <w:rsid w:val="00755C83"/>
    <w:rsid w:val="00757713"/>
    <w:rsid w:val="007613E3"/>
    <w:rsid w:val="007637BD"/>
    <w:rsid w:val="007743E3"/>
    <w:rsid w:val="007745F9"/>
    <w:rsid w:val="00774980"/>
    <w:rsid w:val="007761F0"/>
    <w:rsid w:val="0077636E"/>
    <w:rsid w:val="00780650"/>
    <w:rsid w:val="00787F73"/>
    <w:rsid w:val="007927F8"/>
    <w:rsid w:val="0079368D"/>
    <w:rsid w:val="00794890"/>
    <w:rsid w:val="0079600E"/>
    <w:rsid w:val="00796071"/>
    <w:rsid w:val="007A1767"/>
    <w:rsid w:val="007A585F"/>
    <w:rsid w:val="007A73B1"/>
    <w:rsid w:val="007C2BC8"/>
    <w:rsid w:val="007D1900"/>
    <w:rsid w:val="007D205C"/>
    <w:rsid w:val="007E3BD6"/>
    <w:rsid w:val="007F3E13"/>
    <w:rsid w:val="007F732F"/>
    <w:rsid w:val="00802C04"/>
    <w:rsid w:val="00803D30"/>
    <w:rsid w:val="008062AC"/>
    <w:rsid w:val="00810077"/>
    <w:rsid w:val="00810BB9"/>
    <w:rsid w:val="0081207D"/>
    <w:rsid w:val="00813A57"/>
    <w:rsid w:val="008141D1"/>
    <w:rsid w:val="008159B8"/>
    <w:rsid w:val="00817076"/>
    <w:rsid w:val="00822983"/>
    <w:rsid w:val="00825C53"/>
    <w:rsid w:val="0082730E"/>
    <w:rsid w:val="008276C5"/>
    <w:rsid w:val="00831993"/>
    <w:rsid w:val="00831EE8"/>
    <w:rsid w:val="008372F0"/>
    <w:rsid w:val="0084063F"/>
    <w:rsid w:val="00840964"/>
    <w:rsid w:val="00846053"/>
    <w:rsid w:val="008510F1"/>
    <w:rsid w:val="00851552"/>
    <w:rsid w:val="0085194A"/>
    <w:rsid w:val="00856D65"/>
    <w:rsid w:val="00861F05"/>
    <w:rsid w:val="008675B4"/>
    <w:rsid w:val="008679D5"/>
    <w:rsid w:val="00871A2B"/>
    <w:rsid w:val="0087407F"/>
    <w:rsid w:val="00874132"/>
    <w:rsid w:val="0088076D"/>
    <w:rsid w:val="00880A53"/>
    <w:rsid w:val="00883697"/>
    <w:rsid w:val="00890ACF"/>
    <w:rsid w:val="0089145F"/>
    <w:rsid w:val="00891FBE"/>
    <w:rsid w:val="00893FA5"/>
    <w:rsid w:val="00894160"/>
    <w:rsid w:val="008A507B"/>
    <w:rsid w:val="008B21CB"/>
    <w:rsid w:val="008C5285"/>
    <w:rsid w:val="008C5FB3"/>
    <w:rsid w:val="008D2D9F"/>
    <w:rsid w:val="008D4D1E"/>
    <w:rsid w:val="008E52D8"/>
    <w:rsid w:val="00901E97"/>
    <w:rsid w:val="0090233F"/>
    <w:rsid w:val="009026BF"/>
    <w:rsid w:val="00903630"/>
    <w:rsid w:val="00907BF2"/>
    <w:rsid w:val="00907F4F"/>
    <w:rsid w:val="00915A56"/>
    <w:rsid w:val="00940DD1"/>
    <w:rsid w:val="009430C8"/>
    <w:rsid w:val="00944876"/>
    <w:rsid w:val="00950CA2"/>
    <w:rsid w:val="00951FBC"/>
    <w:rsid w:val="00957E8A"/>
    <w:rsid w:val="00960349"/>
    <w:rsid w:val="00963F40"/>
    <w:rsid w:val="00971613"/>
    <w:rsid w:val="00972DB7"/>
    <w:rsid w:val="0097551A"/>
    <w:rsid w:val="00976F39"/>
    <w:rsid w:val="00977D11"/>
    <w:rsid w:val="00981614"/>
    <w:rsid w:val="00983AD2"/>
    <w:rsid w:val="0098444D"/>
    <w:rsid w:val="00984AF5"/>
    <w:rsid w:val="00991C08"/>
    <w:rsid w:val="009971B5"/>
    <w:rsid w:val="009A76E7"/>
    <w:rsid w:val="009B2954"/>
    <w:rsid w:val="009B758C"/>
    <w:rsid w:val="009D0C07"/>
    <w:rsid w:val="009D131D"/>
    <w:rsid w:val="009D210D"/>
    <w:rsid w:val="009D66D9"/>
    <w:rsid w:val="009D79A3"/>
    <w:rsid w:val="009E4B65"/>
    <w:rsid w:val="009E5C56"/>
    <w:rsid w:val="009F1E87"/>
    <w:rsid w:val="009F2118"/>
    <w:rsid w:val="009F2601"/>
    <w:rsid w:val="009F77E0"/>
    <w:rsid w:val="00A0006F"/>
    <w:rsid w:val="00A00AB1"/>
    <w:rsid w:val="00A02337"/>
    <w:rsid w:val="00A03690"/>
    <w:rsid w:val="00A03A6B"/>
    <w:rsid w:val="00A13C8F"/>
    <w:rsid w:val="00A16F36"/>
    <w:rsid w:val="00A207E5"/>
    <w:rsid w:val="00A27C0F"/>
    <w:rsid w:val="00A30505"/>
    <w:rsid w:val="00A31CA0"/>
    <w:rsid w:val="00A35140"/>
    <w:rsid w:val="00A454E7"/>
    <w:rsid w:val="00A52366"/>
    <w:rsid w:val="00A571AF"/>
    <w:rsid w:val="00A57730"/>
    <w:rsid w:val="00A57D26"/>
    <w:rsid w:val="00A60554"/>
    <w:rsid w:val="00A60BD4"/>
    <w:rsid w:val="00A716EA"/>
    <w:rsid w:val="00A74FED"/>
    <w:rsid w:val="00A7659B"/>
    <w:rsid w:val="00A776C2"/>
    <w:rsid w:val="00A777A7"/>
    <w:rsid w:val="00A8086C"/>
    <w:rsid w:val="00A81460"/>
    <w:rsid w:val="00A85F1B"/>
    <w:rsid w:val="00A92BA4"/>
    <w:rsid w:val="00A951EE"/>
    <w:rsid w:val="00A96FA9"/>
    <w:rsid w:val="00A96FAF"/>
    <w:rsid w:val="00AA4A19"/>
    <w:rsid w:val="00AA4C6C"/>
    <w:rsid w:val="00AB066C"/>
    <w:rsid w:val="00AB2897"/>
    <w:rsid w:val="00AB5FAA"/>
    <w:rsid w:val="00AB7404"/>
    <w:rsid w:val="00AB7A9F"/>
    <w:rsid w:val="00AD2778"/>
    <w:rsid w:val="00AE660D"/>
    <w:rsid w:val="00AF0EA7"/>
    <w:rsid w:val="00AF70BB"/>
    <w:rsid w:val="00B038F6"/>
    <w:rsid w:val="00B10264"/>
    <w:rsid w:val="00B10CCD"/>
    <w:rsid w:val="00B148F0"/>
    <w:rsid w:val="00B161AC"/>
    <w:rsid w:val="00B16E8C"/>
    <w:rsid w:val="00B20B69"/>
    <w:rsid w:val="00B23874"/>
    <w:rsid w:val="00B25577"/>
    <w:rsid w:val="00B25994"/>
    <w:rsid w:val="00B26D4B"/>
    <w:rsid w:val="00B316D5"/>
    <w:rsid w:val="00B31A06"/>
    <w:rsid w:val="00B3467D"/>
    <w:rsid w:val="00B35D51"/>
    <w:rsid w:val="00B35E02"/>
    <w:rsid w:val="00B36632"/>
    <w:rsid w:val="00B37EF6"/>
    <w:rsid w:val="00B424B9"/>
    <w:rsid w:val="00B45651"/>
    <w:rsid w:val="00B46DAE"/>
    <w:rsid w:val="00B478AA"/>
    <w:rsid w:val="00B52482"/>
    <w:rsid w:val="00B615D1"/>
    <w:rsid w:val="00B62D3B"/>
    <w:rsid w:val="00B6739C"/>
    <w:rsid w:val="00B6743E"/>
    <w:rsid w:val="00B77512"/>
    <w:rsid w:val="00B81FCE"/>
    <w:rsid w:val="00B85573"/>
    <w:rsid w:val="00B90119"/>
    <w:rsid w:val="00B90AF6"/>
    <w:rsid w:val="00B94291"/>
    <w:rsid w:val="00B95A0B"/>
    <w:rsid w:val="00B96766"/>
    <w:rsid w:val="00B96EC6"/>
    <w:rsid w:val="00BA652C"/>
    <w:rsid w:val="00BA66B4"/>
    <w:rsid w:val="00BA67C3"/>
    <w:rsid w:val="00BB3D1A"/>
    <w:rsid w:val="00BC246B"/>
    <w:rsid w:val="00BC4808"/>
    <w:rsid w:val="00BC5749"/>
    <w:rsid w:val="00BD0CC4"/>
    <w:rsid w:val="00BD131E"/>
    <w:rsid w:val="00BD281D"/>
    <w:rsid w:val="00BD4E25"/>
    <w:rsid w:val="00BE1BD7"/>
    <w:rsid w:val="00BE3837"/>
    <w:rsid w:val="00BF7793"/>
    <w:rsid w:val="00C033EB"/>
    <w:rsid w:val="00C0507D"/>
    <w:rsid w:val="00C05520"/>
    <w:rsid w:val="00C106ED"/>
    <w:rsid w:val="00C1382B"/>
    <w:rsid w:val="00C174A1"/>
    <w:rsid w:val="00C33889"/>
    <w:rsid w:val="00C33E35"/>
    <w:rsid w:val="00C407A2"/>
    <w:rsid w:val="00C46182"/>
    <w:rsid w:val="00C5116A"/>
    <w:rsid w:val="00C52124"/>
    <w:rsid w:val="00C544D9"/>
    <w:rsid w:val="00C55631"/>
    <w:rsid w:val="00C576A8"/>
    <w:rsid w:val="00C61083"/>
    <w:rsid w:val="00C61782"/>
    <w:rsid w:val="00C768FA"/>
    <w:rsid w:val="00C82C90"/>
    <w:rsid w:val="00C831B8"/>
    <w:rsid w:val="00C831E0"/>
    <w:rsid w:val="00CA6342"/>
    <w:rsid w:val="00CA6610"/>
    <w:rsid w:val="00CB21A7"/>
    <w:rsid w:val="00CB3351"/>
    <w:rsid w:val="00CB3AA2"/>
    <w:rsid w:val="00CC1407"/>
    <w:rsid w:val="00CC54E9"/>
    <w:rsid w:val="00CD0041"/>
    <w:rsid w:val="00CD3820"/>
    <w:rsid w:val="00CD65E4"/>
    <w:rsid w:val="00CD68D2"/>
    <w:rsid w:val="00CE01B8"/>
    <w:rsid w:val="00CE4AF4"/>
    <w:rsid w:val="00CE5239"/>
    <w:rsid w:val="00CF0BD4"/>
    <w:rsid w:val="00D0020B"/>
    <w:rsid w:val="00D00584"/>
    <w:rsid w:val="00D115AF"/>
    <w:rsid w:val="00D1256F"/>
    <w:rsid w:val="00D15198"/>
    <w:rsid w:val="00D2195F"/>
    <w:rsid w:val="00D34205"/>
    <w:rsid w:val="00D3485A"/>
    <w:rsid w:val="00D37781"/>
    <w:rsid w:val="00D5555E"/>
    <w:rsid w:val="00D5783F"/>
    <w:rsid w:val="00D607FD"/>
    <w:rsid w:val="00D649EF"/>
    <w:rsid w:val="00D70556"/>
    <w:rsid w:val="00D7700F"/>
    <w:rsid w:val="00D77F83"/>
    <w:rsid w:val="00D840B4"/>
    <w:rsid w:val="00D9092F"/>
    <w:rsid w:val="00D914CE"/>
    <w:rsid w:val="00DA0FDD"/>
    <w:rsid w:val="00DA2C70"/>
    <w:rsid w:val="00DA46EE"/>
    <w:rsid w:val="00DA53E4"/>
    <w:rsid w:val="00DA5FCC"/>
    <w:rsid w:val="00DB70E3"/>
    <w:rsid w:val="00DC6B1D"/>
    <w:rsid w:val="00DC7318"/>
    <w:rsid w:val="00DD0772"/>
    <w:rsid w:val="00DD342D"/>
    <w:rsid w:val="00DD345E"/>
    <w:rsid w:val="00DD778C"/>
    <w:rsid w:val="00DE35ED"/>
    <w:rsid w:val="00DE700B"/>
    <w:rsid w:val="00DF32EA"/>
    <w:rsid w:val="00DF68B5"/>
    <w:rsid w:val="00E07862"/>
    <w:rsid w:val="00E11B78"/>
    <w:rsid w:val="00E158D8"/>
    <w:rsid w:val="00E21346"/>
    <w:rsid w:val="00E23A15"/>
    <w:rsid w:val="00E25F8C"/>
    <w:rsid w:val="00E30957"/>
    <w:rsid w:val="00E30969"/>
    <w:rsid w:val="00E30EAC"/>
    <w:rsid w:val="00E45B54"/>
    <w:rsid w:val="00E47E28"/>
    <w:rsid w:val="00E5564B"/>
    <w:rsid w:val="00E5757F"/>
    <w:rsid w:val="00E63E2E"/>
    <w:rsid w:val="00E66673"/>
    <w:rsid w:val="00E6779F"/>
    <w:rsid w:val="00E7295D"/>
    <w:rsid w:val="00E74DDB"/>
    <w:rsid w:val="00E815BC"/>
    <w:rsid w:val="00E820C1"/>
    <w:rsid w:val="00E83A38"/>
    <w:rsid w:val="00E90A76"/>
    <w:rsid w:val="00E93FE2"/>
    <w:rsid w:val="00EA2608"/>
    <w:rsid w:val="00EA3048"/>
    <w:rsid w:val="00EA4AD3"/>
    <w:rsid w:val="00EB7336"/>
    <w:rsid w:val="00EC2870"/>
    <w:rsid w:val="00EC411D"/>
    <w:rsid w:val="00EC7803"/>
    <w:rsid w:val="00ED1AB6"/>
    <w:rsid w:val="00ED3711"/>
    <w:rsid w:val="00ED3BBD"/>
    <w:rsid w:val="00ED3D35"/>
    <w:rsid w:val="00ED4213"/>
    <w:rsid w:val="00ED446A"/>
    <w:rsid w:val="00EE04E8"/>
    <w:rsid w:val="00EE1352"/>
    <w:rsid w:val="00EE298A"/>
    <w:rsid w:val="00EE5C48"/>
    <w:rsid w:val="00EE65E5"/>
    <w:rsid w:val="00EF0C34"/>
    <w:rsid w:val="00EF2ED8"/>
    <w:rsid w:val="00F00113"/>
    <w:rsid w:val="00F00869"/>
    <w:rsid w:val="00F0138E"/>
    <w:rsid w:val="00F02544"/>
    <w:rsid w:val="00F03F08"/>
    <w:rsid w:val="00F044E4"/>
    <w:rsid w:val="00F07397"/>
    <w:rsid w:val="00F111C7"/>
    <w:rsid w:val="00F331D7"/>
    <w:rsid w:val="00F33F6F"/>
    <w:rsid w:val="00F36978"/>
    <w:rsid w:val="00F4122B"/>
    <w:rsid w:val="00F42AD3"/>
    <w:rsid w:val="00F45483"/>
    <w:rsid w:val="00F46449"/>
    <w:rsid w:val="00F52292"/>
    <w:rsid w:val="00F52F5F"/>
    <w:rsid w:val="00F62BF4"/>
    <w:rsid w:val="00F63B29"/>
    <w:rsid w:val="00F66D6F"/>
    <w:rsid w:val="00F8056B"/>
    <w:rsid w:val="00F82D31"/>
    <w:rsid w:val="00F82F2B"/>
    <w:rsid w:val="00F85152"/>
    <w:rsid w:val="00F8729A"/>
    <w:rsid w:val="00F91C74"/>
    <w:rsid w:val="00F97374"/>
    <w:rsid w:val="00F97E4C"/>
    <w:rsid w:val="00FA4DF5"/>
    <w:rsid w:val="00FA5227"/>
    <w:rsid w:val="00FA6CE9"/>
    <w:rsid w:val="00FB2527"/>
    <w:rsid w:val="00FB2AD2"/>
    <w:rsid w:val="00FC4429"/>
    <w:rsid w:val="00FD1F87"/>
    <w:rsid w:val="00FD5E81"/>
    <w:rsid w:val="00FD6718"/>
    <w:rsid w:val="00FD67A8"/>
    <w:rsid w:val="00FE020C"/>
    <w:rsid w:val="00FE0D2D"/>
    <w:rsid w:val="00FE3A8F"/>
    <w:rsid w:val="00FE673E"/>
    <w:rsid w:val="00FF0AD1"/>
    <w:rsid w:val="00FF0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E6"/>
    <w:rPr>
      <w:sz w:val="24"/>
      <w:szCs w:val="24"/>
      <w:lang w:val="en-US" w:eastAsia="en-US"/>
    </w:rPr>
  </w:style>
  <w:style w:type="paragraph" w:styleId="Heading1">
    <w:name w:val="heading 1"/>
    <w:basedOn w:val="Normal"/>
    <w:next w:val="Normal"/>
    <w:link w:val="Heading1Char"/>
    <w:qFormat/>
    <w:rsid w:val="002B3E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8056B"/>
    <w:pPr>
      <w:spacing w:before="100" w:beforeAutospacing="1" w:after="100" w:afterAutospacing="1"/>
      <w:outlineLvl w:val="2"/>
    </w:pPr>
    <w:rPr>
      <w:b/>
      <w:bCs/>
      <w:sz w:val="27"/>
      <w:szCs w:val="27"/>
      <w:lang w:val="en-CA" w:eastAsia="en-CA"/>
    </w:rPr>
  </w:style>
  <w:style w:type="paragraph" w:styleId="Heading5">
    <w:name w:val="heading 5"/>
    <w:basedOn w:val="Normal"/>
    <w:next w:val="Normal"/>
    <w:link w:val="Heading5Char"/>
    <w:semiHidden/>
    <w:unhideWhenUsed/>
    <w:qFormat/>
    <w:rsid w:val="00C106E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0BD4"/>
    <w:rPr>
      <w:color w:val="0000FF"/>
      <w:u w:val="single"/>
    </w:rPr>
  </w:style>
  <w:style w:type="paragraph" w:styleId="BodyTextIndent2">
    <w:name w:val="Body Text Indent 2"/>
    <w:basedOn w:val="Normal"/>
    <w:rsid w:val="00B10CCD"/>
    <w:pPr>
      <w:spacing w:after="120"/>
      <w:ind w:left="720" w:hanging="720"/>
      <w:jc w:val="both"/>
    </w:pPr>
    <w:rPr>
      <w:szCs w:val="20"/>
    </w:rPr>
  </w:style>
  <w:style w:type="table" w:styleId="TableGrid">
    <w:name w:val="Table Grid"/>
    <w:basedOn w:val="TableNormal"/>
    <w:uiPriority w:val="59"/>
    <w:rsid w:val="00A77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8056B"/>
    <w:rPr>
      <w:b/>
      <w:bCs/>
      <w:sz w:val="27"/>
      <w:szCs w:val="27"/>
      <w:lang w:val="en-CA" w:eastAsia="en-CA"/>
    </w:rPr>
  </w:style>
  <w:style w:type="character" w:customStyle="1" w:styleId="Heading5Char">
    <w:name w:val="Heading 5 Char"/>
    <w:basedOn w:val="DefaultParagraphFont"/>
    <w:link w:val="Heading5"/>
    <w:semiHidden/>
    <w:rsid w:val="00C106ED"/>
    <w:rPr>
      <w:rFonts w:asciiTheme="majorHAnsi" w:eastAsiaTheme="majorEastAsia" w:hAnsiTheme="majorHAnsi" w:cstheme="majorBidi"/>
      <w:color w:val="243F60" w:themeColor="accent1" w:themeShade="7F"/>
      <w:sz w:val="24"/>
      <w:szCs w:val="24"/>
      <w:lang w:val="en-US" w:eastAsia="en-US"/>
    </w:rPr>
  </w:style>
  <w:style w:type="paragraph" w:styleId="FootnoteText">
    <w:name w:val="footnote text"/>
    <w:basedOn w:val="Normal"/>
    <w:link w:val="FootnoteTextChar"/>
    <w:rsid w:val="00583DC1"/>
    <w:rPr>
      <w:sz w:val="20"/>
      <w:szCs w:val="20"/>
    </w:rPr>
  </w:style>
  <w:style w:type="character" w:customStyle="1" w:styleId="FootnoteTextChar">
    <w:name w:val="Footnote Text Char"/>
    <w:basedOn w:val="DefaultParagraphFont"/>
    <w:link w:val="FootnoteText"/>
    <w:rsid w:val="00583DC1"/>
    <w:rPr>
      <w:lang w:val="en-US" w:eastAsia="en-US"/>
    </w:rPr>
  </w:style>
  <w:style w:type="character" w:styleId="FootnoteReference">
    <w:name w:val="footnote reference"/>
    <w:basedOn w:val="DefaultParagraphFont"/>
    <w:rsid w:val="00583DC1"/>
    <w:rPr>
      <w:vertAlign w:val="superscript"/>
    </w:rPr>
  </w:style>
  <w:style w:type="character" w:customStyle="1" w:styleId="apple-converted-space">
    <w:name w:val="apple-converted-space"/>
    <w:basedOn w:val="DefaultParagraphFont"/>
    <w:rsid w:val="00583DC1"/>
  </w:style>
  <w:style w:type="character" w:customStyle="1" w:styleId="citation">
    <w:name w:val="citation"/>
    <w:basedOn w:val="DefaultParagraphFont"/>
    <w:rsid w:val="00583DC1"/>
  </w:style>
  <w:style w:type="character" w:customStyle="1" w:styleId="reference-accessdate">
    <w:name w:val="reference-accessdate"/>
    <w:basedOn w:val="DefaultParagraphFont"/>
    <w:rsid w:val="00583DC1"/>
  </w:style>
  <w:style w:type="character" w:customStyle="1" w:styleId="nowrap">
    <w:name w:val="nowrap"/>
    <w:basedOn w:val="DefaultParagraphFont"/>
    <w:rsid w:val="00583DC1"/>
  </w:style>
  <w:style w:type="character" w:styleId="FollowedHyperlink">
    <w:name w:val="FollowedHyperlink"/>
    <w:basedOn w:val="DefaultParagraphFont"/>
    <w:rsid w:val="00583DC1"/>
    <w:rPr>
      <w:color w:val="800080" w:themeColor="followedHyperlink"/>
      <w:u w:val="single"/>
    </w:rPr>
  </w:style>
  <w:style w:type="paragraph" w:styleId="ListParagraph">
    <w:name w:val="List Paragraph"/>
    <w:basedOn w:val="Normal"/>
    <w:uiPriority w:val="34"/>
    <w:qFormat/>
    <w:rsid w:val="00583DC1"/>
    <w:pPr>
      <w:ind w:left="720"/>
      <w:contextualSpacing/>
    </w:pPr>
  </w:style>
  <w:style w:type="paragraph" w:styleId="Header">
    <w:name w:val="header"/>
    <w:basedOn w:val="Normal"/>
    <w:link w:val="HeaderChar"/>
    <w:unhideWhenUsed/>
    <w:rsid w:val="00E07862"/>
    <w:pPr>
      <w:tabs>
        <w:tab w:val="center" w:pos="4680"/>
        <w:tab w:val="right" w:pos="9360"/>
      </w:tabs>
    </w:pPr>
  </w:style>
  <w:style w:type="character" w:customStyle="1" w:styleId="HeaderChar">
    <w:name w:val="Header Char"/>
    <w:basedOn w:val="DefaultParagraphFont"/>
    <w:link w:val="Header"/>
    <w:rsid w:val="00E07862"/>
    <w:rPr>
      <w:sz w:val="24"/>
      <w:szCs w:val="24"/>
      <w:lang w:val="en-US" w:eastAsia="en-US"/>
    </w:rPr>
  </w:style>
  <w:style w:type="paragraph" w:styleId="Footer">
    <w:name w:val="footer"/>
    <w:basedOn w:val="Normal"/>
    <w:link w:val="FooterChar"/>
    <w:uiPriority w:val="99"/>
    <w:unhideWhenUsed/>
    <w:rsid w:val="00E07862"/>
    <w:pPr>
      <w:tabs>
        <w:tab w:val="center" w:pos="4680"/>
        <w:tab w:val="right" w:pos="9360"/>
      </w:tabs>
    </w:pPr>
  </w:style>
  <w:style w:type="character" w:customStyle="1" w:styleId="FooterChar">
    <w:name w:val="Footer Char"/>
    <w:basedOn w:val="DefaultParagraphFont"/>
    <w:link w:val="Footer"/>
    <w:uiPriority w:val="99"/>
    <w:rsid w:val="00E07862"/>
    <w:rPr>
      <w:sz w:val="24"/>
      <w:szCs w:val="24"/>
      <w:lang w:val="en-US" w:eastAsia="en-US"/>
    </w:rPr>
  </w:style>
  <w:style w:type="character" w:styleId="Strong">
    <w:name w:val="Strong"/>
    <w:basedOn w:val="DefaultParagraphFont"/>
    <w:uiPriority w:val="22"/>
    <w:qFormat/>
    <w:rsid w:val="009D131D"/>
    <w:rPr>
      <w:b/>
      <w:bCs/>
    </w:rPr>
  </w:style>
  <w:style w:type="character" w:styleId="CommentReference">
    <w:name w:val="annotation reference"/>
    <w:basedOn w:val="DefaultParagraphFont"/>
    <w:semiHidden/>
    <w:unhideWhenUsed/>
    <w:rsid w:val="000F3FE6"/>
    <w:rPr>
      <w:sz w:val="16"/>
      <w:szCs w:val="16"/>
    </w:rPr>
  </w:style>
  <w:style w:type="paragraph" w:styleId="CommentText">
    <w:name w:val="annotation text"/>
    <w:basedOn w:val="Normal"/>
    <w:link w:val="CommentTextChar"/>
    <w:semiHidden/>
    <w:unhideWhenUsed/>
    <w:rsid w:val="000F3FE6"/>
    <w:rPr>
      <w:sz w:val="20"/>
      <w:szCs w:val="20"/>
    </w:rPr>
  </w:style>
  <w:style w:type="character" w:customStyle="1" w:styleId="CommentTextChar">
    <w:name w:val="Comment Text Char"/>
    <w:basedOn w:val="DefaultParagraphFont"/>
    <w:link w:val="CommentText"/>
    <w:semiHidden/>
    <w:rsid w:val="000F3FE6"/>
    <w:rPr>
      <w:lang w:val="en-US" w:eastAsia="en-US"/>
    </w:rPr>
  </w:style>
  <w:style w:type="paragraph" w:styleId="CommentSubject">
    <w:name w:val="annotation subject"/>
    <w:basedOn w:val="CommentText"/>
    <w:next w:val="CommentText"/>
    <w:link w:val="CommentSubjectChar"/>
    <w:semiHidden/>
    <w:unhideWhenUsed/>
    <w:rsid w:val="000F3FE6"/>
    <w:rPr>
      <w:b/>
      <w:bCs/>
    </w:rPr>
  </w:style>
  <w:style w:type="character" w:customStyle="1" w:styleId="CommentSubjectChar">
    <w:name w:val="Comment Subject Char"/>
    <w:basedOn w:val="CommentTextChar"/>
    <w:link w:val="CommentSubject"/>
    <w:semiHidden/>
    <w:rsid w:val="000F3FE6"/>
    <w:rPr>
      <w:b/>
      <w:bCs/>
      <w:lang w:val="en-US" w:eastAsia="en-US"/>
    </w:rPr>
  </w:style>
  <w:style w:type="paragraph" w:styleId="BalloonText">
    <w:name w:val="Balloon Text"/>
    <w:basedOn w:val="Normal"/>
    <w:link w:val="BalloonTextChar"/>
    <w:semiHidden/>
    <w:unhideWhenUsed/>
    <w:rsid w:val="000F3FE6"/>
    <w:rPr>
      <w:rFonts w:ascii="Tahoma" w:hAnsi="Tahoma" w:cs="Tahoma"/>
      <w:szCs w:val="16"/>
    </w:rPr>
  </w:style>
  <w:style w:type="character" w:customStyle="1" w:styleId="BalloonTextChar">
    <w:name w:val="Balloon Text Char"/>
    <w:basedOn w:val="DefaultParagraphFont"/>
    <w:link w:val="BalloonText"/>
    <w:semiHidden/>
    <w:rsid w:val="000F3FE6"/>
    <w:rPr>
      <w:rFonts w:ascii="Tahoma" w:hAnsi="Tahoma" w:cs="Tahoma"/>
      <w:sz w:val="24"/>
      <w:szCs w:val="16"/>
      <w:lang w:val="en-US" w:eastAsia="en-US"/>
    </w:rPr>
  </w:style>
  <w:style w:type="character" w:customStyle="1" w:styleId="Heading1Char">
    <w:name w:val="Heading 1 Char"/>
    <w:basedOn w:val="DefaultParagraphFont"/>
    <w:link w:val="Heading1"/>
    <w:rsid w:val="002B3E45"/>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020A8D"/>
    <w:pPr>
      <w:spacing w:line="259" w:lineRule="auto"/>
      <w:outlineLvl w:val="9"/>
    </w:pPr>
  </w:style>
  <w:style w:type="paragraph" w:styleId="TOC1">
    <w:name w:val="toc 1"/>
    <w:basedOn w:val="Normal"/>
    <w:next w:val="Normal"/>
    <w:autoRedefine/>
    <w:uiPriority w:val="39"/>
    <w:unhideWhenUsed/>
    <w:rsid w:val="00020A8D"/>
    <w:pPr>
      <w:spacing w:after="100"/>
    </w:pPr>
  </w:style>
</w:styles>
</file>

<file path=word/webSettings.xml><?xml version="1.0" encoding="utf-8"?>
<w:webSettings xmlns:r="http://schemas.openxmlformats.org/officeDocument/2006/relationships" xmlns:w="http://schemas.openxmlformats.org/wordprocessingml/2006/main">
  <w:divs>
    <w:div w:id="411852773">
      <w:bodyDiv w:val="1"/>
      <w:marLeft w:val="0"/>
      <w:marRight w:val="0"/>
      <w:marTop w:val="0"/>
      <w:marBottom w:val="0"/>
      <w:divBdr>
        <w:top w:val="none" w:sz="0" w:space="0" w:color="auto"/>
        <w:left w:val="none" w:sz="0" w:space="0" w:color="auto"/>
        <w:bottom w:val="none" w:sz="0" w:space="0" w:color="auto"/>
        <w:right w:val="none" w:sz="0" w:space="0" w:color="auto"/>
      </w:divBdr>
    </w:div>
    <w:div w:id="436679900">
      <w:bodyDiv w:val="1"/>
      <w:marLeft w:val="0"/>
      <w:marRight w:val="0"/>
      <w:marTop w:val="0"/>
      <w:marBottom w:val="0"/>
      <w:divBdr>
        <w:top w:val="none" w:sz="0" w:space="0" w:color="auto"/>
        <w:left w:val="none" w:sz="0" w:space="0" w:color="auto"/>
        <w:bottom w:val="none" w:sz="0" w:space="0" w:color="auto"/>
        <w:right w:val="none" w:sz="0" w:space="0" w:color="auto"/>
      </w:divBdr>
      <w:divsChild>
        <w:div w:id="131021476">
          <w:marLeft w:val="576"/>
          <w:marRight w:val="0"/>
          <w:marTop w:val="120"/>
          <w:marBottom w:val="0"/>
          <w:divBdr>
            <w:top w:val="none" w:sz="0" w:space="0" w:color="auto"/>
            <w:left w:val="none" w:sz="0" w:space="0" w:color="auto"/>
            <w:bottom w:val="none" w:sz="0" w:space="0" w:color="auto"/>
            <w:right w:val="none" w:sz="0" w:space="0" w:color="auto"/>
          </w:divBdr>
        </w:div>
        <w:div w:id="147980896">
          <w:marLeft w:val="576"/>
          <w:marRight w:val="0"/>
          <w:marTop w:val="120"/>
          <w:marBottom w:val="0"/>
          <w:divBdr>
            <w:top w:val="none" w:sz="0" w:space="0" w:color="auto"/>
            <w:left w:val="none" w:sz="0" w:space="0" w:color="auto"/>
            <w:bottom w:val="none" w:sz="0" w:space="0" w:color="auto"/>
            <w:right w:val="none" w:sz="0" w:space="0" w:color="auto"/>
          </w:divBdr>
        </w:div>
        <w:div w:id="568422721">
          <w:marLeft w:val="576"/>
          <w:marRight w:val="0"/>
          <w:marTop w:val="120"/>
          <w:marBottom w:val="0"/>
          <w:divBdr>
            <w:top w:val="none" w:sz="0" w:space="0" w:color="auto"/>
            <w:left w:val="none" w:sz="0" w:space="0" w:color="auto"/>
            <w:bottom w:val="none" w:sz="0" w:space="0" w:color="auto"/>
            <w:right w:val="none" w:sz="0" w:space="0" w:color="auto"/>
          </w:divBdr>
        </w:div>
        <w:div w:id="1106272600">
          <w:marLeft w:val="576"/>
          <w:marRight w:val="0"/>
          <w:marTop w:val="120"/>
          <w:marBottom w:val="0"/>
          <w:divBdr>
            <w:top w:val="none" w:sz="0" w:space="0" w:color="auto"/>
            <w:left w:val="none" w:sz="0" w:space="0" w:color="auto"/>
            <w:bottom w:val="none" w:sz="0" w:space="0" w:color="auto"/>
            <w:right w:val="none" w:sz="0" w:space="0" w:color="auto"/>
          </w:divBdr>
        </w:div>
        <w:div w:id="1124613130">
          <w:marLeft w:val="576"/>
          <w:marRight w:val="0"/>
          <w:marTop w:val="120"/>
          <w:marBottom w:val="0"/>
          <w:divBdr>
            <w:top w:val="none" w:sz="0" w:space="0" w:color="auto"/>
            <w:left w:val="none" w:sz="0" w:space="0" w:color="auto"/>
            <w:bottom w:val="none" w:sz="0" w:space="0" w:color="auto"/>
            <w:right w:val="none" w:sz="0" w:space="0" w:color="auto"/>
          </w:divBdr>
        </w:div>
        <w:div w:id="1918055275">
          <w:marLeft w:val="576"/>
          <w:marRight w:val="0"/>
          <w:marTop w:val="120"/>
          <w:marBottom w:val="0"/>
          <w:divBdr>
            <w:top w:val="none" w:sz="0" w:space="0" w:color="auto"/>
            <w:left w:val="none" w:sz="0" w:space="0" w:color="auto"/>
            <w:bottom w:val="none" w:sz="0" w:space="0" w:color="auto"/>
            <w:right w:val="none" w:sz="0" w:space="0" w:color="auto"/>
          </w:divBdr>
        </w:div>
        <w:div w:id="2144761483">
          <w:marLeft w:val="576"/>
          <w:marRight w:val="0"/>
          <w:marTop w:val="120"/>
          <w:marBottom w:val="0"/>
          <w:divBdr>
            <w:top w:val="none" w:sz="0" w:space="0" w:color="auto"/>
            <w:left w:val="none" w:sz="0" w:space="0" w:color="auto"/>
            <w:bottom w:val="none" w:sz="0" w:space="0" w:color="auto"/>
            <w:right w:val="none" w:sz="0" w:space="0" w:color="auto"/>
          </w:divBdr>
        </w:div>
      </w:divsChild>
    </w:div>
    <w:div w:id="495804694">
      <w:bodyDiv w:val="1"/>
      <w:marLeft w:val="0"/>
      <w:marRight w:val="0"/>
      <w:marTop w:val="0"/>
      <w:marBottom w:val="0"/>
      <w:divBdr>
        <w:top w:val="none" w:sz="0" w:space="0" w:color="auto"/>
        <w:left w:val="none" w:sz="0" w:space="0" w:color="auto"/>
        <w:bottom w:val="none" w:sz="0" w:space="0" w:color="auto"/>
        <w:right w:val="none" w:sz="0" w:space="0" w:color="auto"/>
      </w:divBdr>
    </w:div>
    <w:div w:id="515508667">
      <w:bodyDiv w:val="1"/>
      <w:marLeft w:val="0"/>
      <w:marRight w:val="0"/>
      <w:marTop w:val="0"/>
      <w:marBottom w:val="0"/>
      <w:divBdr>
        <w:top w:val="none" w:sz="0" w:space="0" w:color="auto"/>
        <w:left w:val="none" w:sz="0" w:space="0" w:color="auto"/>
        <w:bottom w:val="none" w:sz="0" w:space="0" w:color="auto"/>
        <w:right w:val="none" w:sz="0" w:space="0" w:color="auto"/>
      </w:divBdr>
    </w:div>
    <w:div w:id="736709298">
      <w:bodyDiv w:val="1"/>
      <w:marLeft w:val="0"/>
      <w:marRight w:val="0"/>
      <w:marTop w:val="0"/>
      <w:marBottom w:val="0"/>
      <w:divBdr>
        <w:top w:val="none" w:sz="0" w:space="0" w:color="auto"/>
        <w:left w:val="none" w:sz="0" w:space="0" w:color="auto"/>
        <w:bottom w:val="none" w:sz="0" w:space="0" w:color="auto"/>
        <w:right w:val="none" w:sz="0" w:space="0" w:color="auto"/>
      </w:divBdr>
    </w:div>
    <w:div w:id="1113940175">
      <w:bodyDiv w:val="1"/>
      <w:marLeft w:val="0"/>
      <w:marRight w:val="0"/>
      <w:marTop w:val="0"/>
      <w:marBottom w:val="0"/>
      <w:divBdr>
        <w:top w:val="none" w:sz="0" w:space="0" w:color="auto"/>
        <w:left w:val="none" w:sz="0" w:space="0" w:color="auto"/>
        <w:bottom w:val="none" w:sz="0" w:space="0" w:color="auto"/>
        <w:right w:val="none" w:sz="0" w:space="0" w:color="auto"/>
      </w:divBdr>
    </w:div>
    <w:div w:id="1415544488">
      <w:bodyDiv w:val="1"/>
      <w:marLeft w:val="0"/>
      <w:marRight w:val="0"/>
      <w:marTop w:val="0"/>
      <w:marBottom w:val="0"/>
      <w:divBdr>
        <w:top w:val="none" w:sz="0" w:space="0" w:color="auto"/>
        <w:left w:val="none" w:sz="0" w:space="0" w:color="auto"/>
        <w:bottom w:val="none" w:sz="0" w:space="0" w:color="auto"/>
        <w:right w:val="none" w:sz="0" w:space="0" w:color="auto"/>
      </w:divBdr>
    </w:div>
    <w:div w:id="1420566609">
      <w:bodyDiv w:val="1"/>
      <w:marLeft w:val="0"/>
      <w:marRight w:val="0"/>
      <w:marTop w:val="0"/>
      <w:marBottom w:val="0"/>
      <w:divBdr>
        <w:top w:val="none" w:sz="0" w:space="0" w:color="auto"/>
        <w:left w:val="none" w:sz="0" w:space="0" w:color="auto"/>
        <w:bottom w:val="none" w:sz="0" w:space="0" w:color="auto"/>
        <w:right w:val="none" w:sz="0" w:space="0" w:color="auto"/>
      </w:divBdr>
    </w:div>
    <w:div w:id="1512795046">
      <w:bodyDiv w:val="1"/>
      <w:marLeft w:val="0"/>
      <w:marRight w:val="0"/>
      <w:marTop w:val="0"/>
      <w:marBottom w:val="0"/>
      <w:divBdr>
        <w:top w:val="none" w:sz="0" w:space="0" w:color="auto"/>
        <w:left w:val="none" w:sz="0" w:space="0" w:color="auto"/>
        <w:bottom w:val="none" w:sz="0" w:space="0" w:color="auto"/>
        <w:right w:val="none" w:sz="0" w:space="0" w:color="auto"/>
      </w:divBdr>
    </w:div>
    <w:div w:id="1703172063">
      <w:bodyDiv w:val="1"/>
      <w:marLeft w:val="0"/>
      <w:marRight w:val="0"/>
      <w:marTop w:val="0"/>
      <w:marBottom w:val="0"/>
      <w:divBdr>
        <w:top w:val="none" w:sz="0" w:space="0" w:color="auto"/>
        <w:left w:val="none" w:sz="0" w:space="0" w:color="auto"/>
        <w:bottom w:val="none" w:sz="0" w:space="0" w:color="auto"/>
        <w:right w:val="none" w:sz="0" w:space="0" w:color="auto"/>
      </w:divBdr>
    </w:div>
    <w:div w:id="2025741653">
      <w:bodyDiv w:val="1"/>
      <w:marLeft w:val="0"/>
      <w:marRight w:val="0"/>
      <w:marTop w:val="0"/>
      <w:marBottom w:val="0"/>
      <w:divBdr>
        <w:top w:val="none" w:sz="0" w:space="0" w:color="auto"/>
        <w:left w:val="none" w:sz="0" w:space="0" w:color="auto"/>
        <w:bottom w:val="none" w:sz="0" w:space="0" w:color="auto"/>
        <w:right w:val="none" w:sz="0" w:space="0" w:color="auto"/>
      </w:divBdr>
    </w:div>
    <w:div w:id="20273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aeg-sdgs/" TargetMode="External"/><Relationship Id="rId2" Type="http://schemas.openxmlformats.org/officeDocument/2006/relationships/hyperlink" Target="mailto:harold.coulombe@gmail.com" TargetMode="External"/><Relationship Id="rId1" Type="http://schemas.openxmlformats.org/officeDocument/2006/relationships/hyperlink" Target="mailto:nosor42@yahoo.com" TargetMode="External"/><Relationship Id="rId5" Type="http://schemas.openxmlformats.org/officeDocument/2006/relationships/hyperlink" Target="http://unstats.un.org/sdgs/files/meetings/iaeg-sdgs-meeting-02/Outcomes/Agenda%20Item%204%20-%20Review%20of%20proposed%20indicators%20-%202%20Nov%202015.pdf" TargetMode="External"/><Relationship Id="rId4" Type="http://schemas.openxmlformats.org/officeDocument/2006/relationships/hyperlink" Target="https://sustainabledevelopment.un.org/content/documents/6754Technical%20report%20of%20the%20UNSC%20Bureau%20%28final%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2D6B-F038-4E5C-95CF-D4448A3C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3594</Words>
  <Characters>20491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Botswana Poverty Maps</vt:lpstr>
    </vt:vector>
  </TitlesOfParts>
  <Company>ECI</Company>
  <LinksUpToDate>false</LinksUpToDate>
  <CharactersWithSpaces>24037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Botswana Poverty Maps</dc:title>
  <dc:creator>XPS13_512GB</dc:creator>
  <cp:lastModifiedBy>Oyunjargal_M</cp:lastModifiedBy>
  <cp:revision>3</cp:revision>
  <cp:lastPrinted>2015-12-28T07:00:00Z</cp:lastPrinted>
  <dcterms:created xsi:type="dcterms:W3CDTF">2016-01-12T08:58:00Z</dcterms:created>
  <dcterms:modified xsi:type="dcterms:W3CDTF">2016-01-12T09:01:00Z</dcterms:modified>
</cp:coreProperties>
</file>