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0C" w:rsidRPr="0013070C" w:rsidRDefault="0013070C" w:rsidP="0049417C">
      <w:pPr>
        <w:spacing w:after="0" w:line="240" w:lineRule="auto"/>
        <w:ind w:left="3960"/>
        <w:jc w:val="right"/>
        <w:rPr>
          <w:b/>
          <w:lang w:val="mn-MN"/>
        </w:rPr>
      </w:pPr>
      <w:bookmarkStart w:id="0" w:name="_GoBack"/>
      <w:r w:rsidRPr="0013070C">
        <w:rPr>
          <w:b/>
          <w:lang w:val="mn-MN"/>
        </w:rPr>
        <w:t>УБСЕГ</w:t>
      </w:r>
      <w:r w:rsidRPr="0013070C">
        <w:rPr>
          <w:b/>
          <w:lang w:val="mn-MN"/>
        </w:rPr>
        <w:t xml:space="preserve">: Тухайн үед </w:t>
      </w:r>
      <w:r w:rsidRPr="0013070C">
        <w:rPr>
          <w:b/>
        </w:rPr>
        <w:t xml:space="preserve">(2016 </w:t>
      </w:r>
      <w:r w:rsidRPr="0013070C">
        <w:rPr>
          <w:b/>
          <w:lang w:val="mn-MN"/>
        </w:rPr>
        <w:t>онд</w:t>
      </w:r>
      <w:r w:rsidRPr="0013070C">
        <w:rPr>
          <w:b/>
        </w:rPr>
        <w:t>)</w:t>
      </w:r>
      <w:r w:rsidRPr="0013070C">
        <w:rPr>
          <w:b/>
          <w:lang w:val="mn-MN"/>
        </w:rPr>
        <w:t xml:space="preserve"> Үндэсний статистикийн хороо нь Улсын бүртгэлийн ерөнхий газартэй нэгдэж Улсын бүртгэл, статистикийн ерөнхий газар нэртэй байсан болно. </w:t>
      </w:r>
    </w:p>
    <w:bookmarkEnd w:id="0"/>
    <w:p w:rsidR="0013070C" w:rsidRDefault="0013070C" w:rsidP="00C07994">
      <w:pPr>
        <w:spacing w:after="0" w:line="240" w:lineRule="auto"/>
        <w:jc w:val="center"/>
        <w:rPr>
          <w:b/>
          <w:lang w:val="mn-MN"/>
        </w:rPr>
      </w:pPr>
    </w:p>
    <w:p w:rsidR="00875AFE" w:rsidRDefault="00875AFE" w:rsidP="00C07994">
      <w:pPr>
        <w:spacing w:after="0" w:line="240" w:lineRule="auto"/>
        <w:jc w:val="center"/>
        <w:rPr>
          <w:b/>
          <w:lang w:val="mn-MN"/>
        </w:rPr>
      </w:pPr>
    </w:p>
    <w:p w:rsidR="00875AFE" w:rsidRDefault="00875AFE" w:rsidP="00C07994">
      <w:pPr>
        <w:spacing w:after="0" w:line="240" w:lineRule="auto"/>
        <w:jc w:val="center"/>
        <w:rPr>
          <w:b/>
          <w:lang w:val="mn-MN"/>
        </w:rPr>
      </w:pPr>
    </w:p>
    <w:p w:rsidR="00880942" w:rsidRDefault="00F26283" w:rsidP="00C07994">
      <w:pPr>
        <w:spacing w:after="0" w:line="240" w:lineRule="auto"/>
        <w:jc w:val="center"/>
        <w:rPr>
          <w:b/>
          <w:lang w:val="mn-MN"/>
        </w:rPr>
      </w:pPr>
      <w:r>
        <w:rPr>
          <w:b/>
          <w:lang w:val="mn-MN"/>
        </w:rPr>
        <w:t>ТОГТВОРТОЙ ХӨГЖЛИЙН ЗОРИЛТЫН ХҮРЭЭНД  ХИЙГДСЭН</w:t>
      </w:r>
    </w:p>
    <w:p w:rsidR="00175A61" w:rsidRDefault="00F26283" w:rsidP="00C07994">
      <w:pPr>
        <w:spacing w:after="0" w:line="240" w:lineRule="auto"/>
        <w:jc w:val="center"/>
        <w:rPr>
          <w:b/>
          <w:lang w:val="mn-MN"/>
        </w:rPr>
      </w:pPr>
      <w:r>
        <w:rPr>
          <w:b/>
          <w:lang w:val="mn-MN"/>
        </w:rPr>
        <w:t xml:space="preserve">АЖЛУУД, </w:t>
      </w:r>
      <w:r w:rsidR="00175A61">
        <w:rPr>
          <w:b/>
          <w:lang w:val="mn-MN"/>
        </w:rPr>
        <w:t>ТХЗ-ЫН ШАЛГУУР ҮЗҮҮЛЭЛТҮҮД, ТҮҮНИЙГ</w:t>
      </w:r>
      <w:r>
        <w:rPr>
          <w:b/>
          <w:lang w:val="mn-MN"/>
        </w:rPr>
        <w:t xml:space="preserve"> </w:t>
      </w:r>
      <w:r w:rsidR="00880942">
        <w:rPr>
          <w:b/>
          <w:lang w:val="mn-MN"/>
        </w:rPr>
        <w:t>ТООЦОХ</w:t>
      </w:r>
    </w:p>
    <w:p w:rsidR="00F26283" w:rsidRPr="00FB2369" w:rsidRDefault="00880942" w:rsidP="00175A61">
      <w:pPr>
        <w:spacing w:after="0" w:line="240" w:lineRule="auto"/>
        <w:jc w:val="center"/>
        <w:rPr>
          <w:b/>
          <w:lang w:val="mn-MN"/>
        </w:rPr>
      </w:pPr>
      <w:r>
        <w:rPr>
          <w:b/>
          <w:lang w:val="mn-MN"/>
        </w:rPr>
        <w:t xml:space="preserve"> АРГА</w:t>
      </w:r>
      <w:r w:rsidR="00175A61">
        <w:rPr>
          <w:b/>
          <w:lang w:val="mn-MN"/>
        </w:rPr>
        <w:t>ЧЛАЛ, АРГА ЗҮЙД ХИЙСЭН ҮНЭЛГЭЭ</w:t>
      </w:r>
      <w:r w:rsidR="00FB2369">
        <w:rPr>
          <w:b/>
          <w:lang w:val="mn-MN"/>
        </w:rPr>
        <w:t>НИЙ ТАЙЛАН</w:t>
      </w:r>
    </w:p>
    <w:p w:rsidR="00F26283" w:rsidRDefault="00F26283" w:rsidP="00F26283">
      <w:pPr>
        <w:spacing w:after="0" w:line="240" w:lineRule="auto"/>
        <w:jc w:val="center"/>
        <w:rPr>
          <w:b/>
        </w:rPr>
      </w:pPr>
    </w:p>
    <w:p w:rsidR="00F26283" w:rsidRDefault="00F26283" w:rsidP="00AF1937">
      <w:pPr>
        <w:spacing w:after="0" w:line="240" w:lineRule="auto"/>
        <w:jc w:val="both"/>
        <w:rPr>
          <w:b/>
          <w:lang w:val="mn-MN"/>
        </w:rPr>
      </w:pPr>
    </w:p>
    <w:p w:rsidR="006E2405" w:rsidRDefault="00175A61" w:rsidP="006E2405">
      <w:pPr>
        <w:ind w:firstLine="720"/>
        <w:jc w:val="both"/>
        <w:rPr>
          <w:lang w:val="mn-MN"/>
        </w:rPr>
      </w:pPr>
      <w:r w:rsidRPr="006E2405">
        <w:rPr>
          <w:lang w:val="mn-MN"/>
        </w:rPr>
        <w:t xml:space="preserve">УБСЕГ нь Монгол улсын Ерөнхий сайдын “Ажлын хэсэг байгуулах тухай” 2016 оны 3 дугаар сарыг 22-ны өдрийн  захирамжаар байгуулагдсан “Тогтвортой хөгжлийн зорилтын үзүүлэлтийг үнэлэх аргачлалыг тодорхойлох”  9 дүгээр ажлыг хэсгийг </w:t>
      </w:r>
      <w:r w:rsidR="00FB2369" w:rsidRPr="006E2405">
        <w:rPr>
          <w:lang w:val="mn-MN"/>
        </w:rPr>
        <w:t xml:space="preserve">ахалж, </w:t>
      </w:r>
      <w:r w:rsidRPr="006E2405">
        <w:rPr>
          <w:lang w:val="mn-MN"/>
        </w:rPr>
        <w:t>дангаараа хариуца</w:t>
      </w:r>
      <w:r w:rsidR="00FB2369" w:rsidRPr="006E2405">
        <w:rPr>
          <w:lang w:val="mn-MN"/>
        </w:rPr>
        <w:t>н</w:t>
      </w:r>
      <w:r w:rsidR="0092629C">
        <w:t xml:space="preserve"> </w:t>
      </w:r>
      <w:r w:rsidR="0092629C">
        <w:rPr>
          <w:lang w:val="mn-MN"/>
        </w:rPr>
        <w:t xml:space="preserve"> гаргах</w:t>
      </w:r>
      <w:r w:rsidR="003151BD" w:rsidRPr="006E2405">
        <w:rPr>
          <w:lang w:val="mn-MN"/>
        </w:rPr>
        <w:t xml:space="preserve">  үүргийг хүлээж ажиллалаа</w:t>
      </w:r>
      <w:r w:rsidR="00FB2369" w:rsidRPr="006E2405">
        <w:rPr>
          <w:lang w:val="mn-MN"/>
        </w:rPr>
        <w:t xml:space="preserve">. </w:t>
      </w:r>
    </w:p>
    <w:p w:rsidR="00FB2369" w:rsidRPr="006E2405" w:rsidRDefault="003151BD" w:rsidP="006E2405">
      <w:pPr>
        <w:ind w:firstLine="720"/>
        <w:jc w:val="both"/>
        <w:rPr>
          <w:lang w:val="mn-MN"/>
        </w:rPr>
      </w:pPr>
      <w:r w:rsidRPr="006E2405">
        <w:rPr>
          <w:lang w:val="mn-MN"/>
        </w:rPr>
        <w:t xml:space="preserve">Ажлын удирдамжийн </w:t>
      </w:r>
      <w:r w:rsidR="00FB2369" w:rsidRPr="006E2405">
        <w:rPr>
          <w:lang w:val="mn-MN"/>
        </w:rPr>
        <w:t>дагуу</w:t>
      </w:r>
      <w:r w:rsidRPr="006E2405">
        <w:rPr>
          <w:lang w:val="mn-MN"/>
        </w:rPr>
        <w:t xml:space="preserve"> </w:t>
      </w:r>
      <w:r w:rsidR="00FB2369" w:rsidRPr="006E2405">
        <w:rPr>
          <w:lang w:val="mn-MN"/>
        </w:rPr>
        <w:t>ТХЗ-ын шалгуур үзүүлэлтүүд, түүнийг тооцох аргачлал, арга зүйд хийсэн үнэлгээний тайланг бэлтгэн танилцуулж</w:t>
      </w:r>
      <w:r w:rsidRPr="006E2405">
        <w:rPr>
          <w:lang w:val="mn-MN"/>
        </w:rPr>
        <w:t xml:space="preserve"> байна. Тайлан нь 1) ТХЗ-той холбоотой хийж, гүйцэтгэсэн ажлууд, 2) ТХЗ-ын үзүүлэлтийг тооцох аргачлал, арга зүйд хийсэн үнэлгээ, 3) ТХЗ-ын үзүүлэлтүүдэд хийсэн үнэлгээ,  4)Тогтвортой хөгжлийн зорилтын үзүүлэлтийг тооцох, гаргах чиглэлээр цаашид хийгдэх шаардлагатай ажлууд  гэсэн хэсгүүд</w:t>
      </w:r>
      <w:r w:rsidR="00870678">
        <w:rPr>
          <w:lang w:val="mn-MN"/>
        </w:rPr>
        <w:t>ээс бүрдэж байна.</w:t>
      </w:r>
      <w:r w:rsidRPr="006E2405">
        <w:rPr>
          <w:lang w:val="mn-MN"/>
        </w:rPr>
        <w:t xml:space="preserve"> </w:t>
      </w:r>
    </w:p>
    <w:p w:rsidR="00175A61" w:rsidRPr="00175A61" w:rsidRDefault="00175A61" w:rsidP="00FB2369">
      <w:pPr>
        <w:spacing w:after="0" w:line="240" w:lineRule="auto"/>
        <w:jc w:val="both"/>
        <w:rPr>
          <w:lang w:val="mn-MN"/>
        </w:rPr>
      </w:pPr>
    </w:p>
    <w:p w:rsidR="00F26283" w:rsidRPr="003151BD" w:rsidRDefault="00FB2369" w:rsidP="003151BD">
      <w:pPr>
        <w:pStyle w:val="ListParagraph"/>
        <w:numPr>
          <w:ilvl w:val="0"/>
          <w:numId w:val="10"/>
        </w:numPr>
        <w:ind w:left="0" w:firstLine="630"/>
        <w:jc w:val="both"/>
        <w:rPr>
          <w:lang w:val="mn-MN"/>
        </w:rPr>
      </w:pPr>
      <w:r w:rsidRPr="003151BD">
        <w:rPr>
          <w:b/>
          <w:lang w:val="mn-MN"/>
        </w:rPr>
        <w:t xml:space="preserve">ТХЗ-ттой холбоотой  хийж, гүйцэтгэсэн ажлууд. </w:t>
      </w:r>
      <w:r w:rsidR="00F26283" w:rsidRPr="003151BD">
        <w:rPr>
          <w:lang w:val="mn-MN"/>
        </w:rPr>
        <w:t xml:space="preserve">Тогтвортой хөгжлийн зорилтын хүрээнд </w:t>
      </w:r>
      <w:r w:rsidRPr="003151BD">
        <w:rPr>
          <w:lang w:val="mn-MN"/>
        </w:rPr>
        <w:t xml:space="preserve">2015-2016 онуудад  </w:t>
      </w:r>
      <w:r w:rsidR="00F26283" w:rsidRPr="003151BD">
        <w:rPr>
          <w:lang w:val="mn-MN"/>
        </w:rPr>
        <w:t xml:space="preserve">УБСЕГ-аас дараах ажлуудыг хийж гүйцэтгэлээ. Үүнд:  </w:t>
      </w:r>
    </w:p>
    <w:p w:rsidR="00F26283" w:rsidRPr="00070110" w:rsidRDefault="00F26283" w:rsidP="00F26283">
      <w:pPr>
        <w:pStyle w:val="ListParagraph"/>
        <w:rPr>
          <w:b/>
          <w:lang w:val="mn-MN"/>
        </w:rPr>
      </w:pPr>
    </w:p>
    <w:p w:rsidR="00F26283" w:rsidRDefault="00F26283" w:rsidP="00F26283">
      <w:pPr>
        <w:pStyle w:val="ListParagraph"/>
        <w:numPr>
          <w:ilvl w:val="0"/>
          <w:numId w:val="1"/>
        </w:numPr>
        <w:jc w:val="both"/>
        <w:rPr>
          <w:lang w:val="mn-MN"/>
        </w:rPr>
      </w:pPr>
      <w:r w:rsidRPr="001D65E7">
        <w:rPr>
          <w:lang w:val="mn-MN"/>
        </w:rPr>
        <w:t xml:space="preserve">ТХЗ-ыг үндэсний хэмжээнд </w:t>
      </w:r>
      <w:r>
        <w:rPr>
          <w:lang w:val="mn-MN"/>
        </w:rPr>
        <w:t xml:space="preserve"> таниулах, сурталчлах ажлын хүрээнд ТХЗ-той холбоотой </w:t>
      </w:r>
      <w:r w:rsidR="00FB2369">
        <w:rPr>
          <w:lang w:val="mn-MN"/>
        </w:rPr>
        <w:t xml:space="preserve">8 удаагийн </w:t>
      </w:r>
      <w:r>
        <w:rPr>
          <w:lang w:val="mn-MN"/>
        </w:rPr>
        <w:t xml:space="preserve">илтгэл, танилцуулгыг </w:t>
      </w:r>
      <w:r w:rsidR="00FB2369">
        <w:rPr>
          <w:lang w:val="mn-MN"/>
        </w:rPr>
        <w:t xml:space="preserve"> бэлтгэж,</w:t>
      </w:r>
      <w:r>
        <w:rPr>
          <w:lang w:val="mn-MN"/>
        </w:rPr>
        <w:t xml:space="preserve"> олон улсын болон үндэсний хэлэлцүүлэг, уулзалт, семинаруудад бэлтгэн </w:t>
      </w:r>
      <w:r w:rsidR="00FB2369">
        <w:rPr>
          <w:lang w:val="mn-MN"/>
        </w:rPr>
        <w:t xml:space="preserve"> хэлэлцүүлэ</w:t>
      </w:r>
      <w:r>
        <w:rPr>
          <w:lang w:val="mn-MN"/>
        </w:rPr>
        <w:t>х, ТХЗ-ын шалгуур үзүүлэлтүүдийг эх хэл дээрээ хөрвүүлэн орчуулж, яамд, төрийн бусад холбогдох байгуулла</w:t>
      </w:r>
      <w:r w:rsidR="00FB2369">
        <w:rPr>
          <w:lang w:val="mn-MN"/>
        </w:rPr>
        <w:t xml:space="preserve">гуудад хүргүүлэх ажлуудыг зохион байгуулж, гүйцэтгэв. </w:t>
      </w:r>
    </w:p>
    <w:p w:rsidR="00CA65D3" w:rsidRDefault="00CA65D3" w:rsidP="00CA65D3">
      <w:pPr>
        <w:pStyle w:val="ListParagraph"/>
        <w:ind w:left="1080"/>
        <w:jc w:val="both"/>
        <w:rPr>
          <w:lang w:val="mn-MN"/>
        </w:rPr>
      </w:pPr>
    </w:p>
    <w:p w:rsidR="00CA65D3" w:rsidRPr="00CA65D3" w:rsidRDefault="00CA65D3" w:rsidP="00CA65D3">
      <w:pPr>
        <w:pStyle w:val="ListParagraph"/>
        <w:numPr>
          <w:ilvl w:val="0"/>
          <w:numId w:val="1"/>
        </w:numPr>
        <w:jc w:val="both"/>
      </w:pPr>
      <w:r w:rsidRPr="00CA65D3">
        <w:rPr>
          <w:lang w:val="mn-MN"/>
        </w:rPr>
        <w:t>ТХЗ-ын шалгуур үзүүлэлтүүдийг</w:t>
      </w:r>
      <w:r w:rsidR="00FB2369">
        <w:rPr>
          <w:lang w:val="mn-MN"/>
        </w:rPr>
        <w:t xml:space="preserve"> тодорхойлох, </w:t>
      </w:r>
      <w:r w:rsidRPr="00CA65D3">
        <w:rPr>
          <w:lang w:val="mn-MN"/>
        </w:rPr>
        <w:t xml:space="preserve"> санал, зөвлөмж бэлтгэх</w:t>
      </w:r>
      <w:r w:rsidR="00FB2369">
        <w:rPr>
          <w:lang w:val="mn-MN"/>
        </w:rPr>
        <w:t xml:space="preserve">, үнэлэх, </w:t>
      </w:r>
      <w:r w:rsidRPr="00CA65D3">
        <w:rPr>
          <w:lang w:val="mn-MN"/>
        </w:rPr>
        <w:t>ажлуудыг холбогдох яам, байгууллагуудтай хамтран гүйцэтгэж, НҮБ-ын статистикийн хэлтэс, бүсийн түвш</w:t>
      </w:r>
      <w:r>
        <w:rPr>
          <w:lang w:val="mn-MN"/>
        </w:rPr>
        <w:t xml:space="preserve">ний байгууллагуудад </w:t>
      </w:r>
      <w:r w:rsidR="00FB2369">
        <w:rPr>
          <w:lang w:val="mn-MN"/>
        </w:rPr>
        <w:t xml:space="preserve">4 </w:t>
      </w:r>
      <w:r>
        <w:rPr>
          <w:lang w:val="mn-MN"/>
        </w:rPr>
        <w:t>хүргүүлэх</w:t>
      </w:r>
      <w:r w:rsidR="00FB2369">
        <w:rPr>
          <w:lang w:val="mn-MN"/>
        </w:rPr>
        <w:t xml:space="preserve"> </w:t>
      </w:r>
      <w:r>
        <w:rPr>
          <w:lang w:val="mn-MN"/>
        </w:rPr>
        <w:t xml:space="preserve"> ажлыг  гүйцэтгэв.</w:t>
      </w:r>
      <w:r w:rsidR="00FB2369">
        <w:rPr>
          <w:lang w:val="mn-MN"/>
        </w:rPr>
        <w:t xml:space="preserve"> Энэ ажилд БОНХАЖЯ, Сангийн Яам, Эрүүл мэнд, Спортын яамдууд идэвхтэй хамтран ажилласан.  </w:t>
      </w:r>
    </w:p>
    <w:p w:rsidR="00CA65D3" w:rsidRDefault="00CA65D3" w:rsidP="00CA65D3">
      <w:pPr>
        <w:pStyle w:val="ListParagraph"/>
      </w:pPr>
    </w:p>
    <w:p w:rsidR="00CA65D3" w:rsidRPr="00CA65D3" w:rsidRDefault="00CA65D3" w:rsidP="00CA65D3">
      <w:pPr>
        <w:pStyle w:val="ListParagraph"/>
        <w:numPr>
          <w:ilvl w:val="0"/>
          <w:numId w:val="1"/>
        </w:numPr>
        <w:jc w:val="both"/>
      </w:pPr>
      <w:r>
        <w:rPr>
          <w:lang w:val="mn-MN"/>
        </w:rPr>
        <w:t>НҮБ-ын статистикийн комисоос байгуулсан ТХЗ-ын ө</w:t>
      </w:r>
      <w:r w:rsidR="00880942">
        <w:rPr>
          <w:lang w:val="mn-MN"/>
        </w:rPr>
        <w:t>нд</w:t>
      </w:r>
      <w:r>
        <w:rPr>
          <w:lang w:val="mn-MN"/>
        </w:rPr>
        <w:t xml:space="preserve">өр түвшний ажлын хэсэгт </w:t>
      </w:r>
      <w:r w:rsidR="00FB2369">
        <w:rPr>
          <w:lang w:val="mn-MN"/>
        </w:rPr>
        <w:t xml:space="preserve">Зүүн </w:t>
      </w:r>
      <w:r>
        <w:rPr>
          <w:lang w:val="mn-MN"/>
        </w:rPr>
        <w:t>Азийн бүсийн төлөөлөн</w:t>
      </w:r>
      <w:r w:rsidR="00880942">
        <w:rPr>
          <w:lang w:val="mn-MN"/>
        </w:rPr>
        <w:t xml:space="preserve"> оролцож,</w:t>
      </w:r>
      <w:r>
        <w:rPr>
          <w:lang w:val="mn-MN"/>
        </w:rPr>
        <w:t xml:space="preserve"> санал, зөвлөмж боловсруулах, хүргүүлэх, ү</w:t>
      </w:r>
      <w:r w:rsidR="00A14CBC">
        <w:rPr>
          <w:lang w:val="mn-MN"/>
        </w:rPr>
        <w:t xml:space="preserve">нэлгээ хийх ажлуудыг гүйцэтгэж байна. </w:t>
      </w:r>
      <w:r>
        <w:rPr>
          <w:lang w:val="mn-MN"/>
        </w:rPr>
        <w:t xml:space="preserve"> </w:t>
      </w:r>
    </w:p>
    <w:p w:rsidR="00F26283" w:rsidRPr="00F26283" w:rsidRDefault="00F26283" w:rsidP="00F26283">
      <w:pPr>
        <w:pStyle w:val="ListParagraph"/>
        <w:ind w:left="1080"/>
        <w:jc w:val="both"/>
      </w:pPr>
    </w:p>
    <w:p w:rsidR="00F26283" w:rsidRPr="00F26283" w:rsidRDefault="00F26283" w:rsidP="00F26283">
      <w:pPr>
        <w:pStyle w:val="ListParagraph"/>
        <w:numPr>
          <w:ilvl w:val="0"/>
          <w:numId w:val="1"/>
        </w:numPr>
        <w:jc w:val="both"/>
      </w:pPr>
      <w:r w:rsidRPr="00F26283">
        <w:rPr>
          <w:lang w:val="mn-MN"/>
        </w:rPr>
        <w:t>ТХЗ-ын шалгуур үзүүлэлтү</w:t>
      </w:r>
      <w:r w:rsidR="00A14CBC">
        <w:rPr>
          <w:lang w:val="mn-MN"/>
        </w:rPr>
        <w:t>үдэд хийсэн үнэлгээний ажилд</w:t>
      </w:r>
      <w:r w:rsidRPr="00F26283">
        <w:rPr>
          <w:lang w:val="mn-MN"/>
        </w:rPr>
        <w:t xml:space="preserve"> олон улсын болон   үндэсний  зөвлөхтэй х</w:t>
      </w:r>
      <w:r>
        <w:rPr>
          <w:lang w:val="mn-MN"/>
        </w:rPr>
        <w:t>амтран ажиллаж, үр дүнг тархаах семинарыг Сангийн яам, НҮБ-ын ХХ-тэй хамтран зохион байгуулав.</w:t>
      </w:r>
      <w:r w:rsidRPr="00F26283">
        <w:rPr>
          <w:b/>
          <w:bCs/>
          <w:i/>
          <w:iCs/>
          <w:lang w:val="mn-MN"/>
        </w:rPr>
        <w:t xml:space="preserve"> </w:t>
      </w:r>
    </w:p>
    <w:p w:rsidR="00F26283" w:rsidRDefault="00F26283" w:rsidP="00CA65D3">
      <w:pPr>
        <w:pStyle w:val="ListParagraph"/>
        <w:ind w:left="1080"/>
        <w:jc w:val="both"/>
        <w:rPr>
          <w:lang w:val="mn-MN"/>
        </w:rPr>
      </w:pPr>
    </w:p>
    <w:p w:rsidR="00F26283" w:rsidRDefault="00A14CBC" w:rsidP="00F26283">
      <w:pPr>
        <w:pStyle w:val="ListParagraph"/>
        <w:numPr>
          <w:ilvl w:val="0"/>
          <w:numId w:val="1"/>
        </w:numPr>
        <w:jc w:val="both"/>
        <w:rPr>
          <w:lang w:val="mn-MN"/>
        </w:rPr>
      </w:pPr>
      <w:r>
        <w:rPr>
          <w:lang w:val="mn-MN"/>
        </w:rPr>
        <w:t>“</w:t>
      </w:r>
      <w:r w:rsidR="00F26283">
        <w:rPr>
          <w:lang w:val="mn-MN"/>
        </w:rPr>
        <w:t xml:space="preserve">Монгол Улсын Тогтвортой хөгжлийн </w:t>
      </w:r>
      <w:r w:rsidR="00F26283" w:rsidRPr="00F26283">
        <w:rPr>
          <w:lang w:val="mn-MN"/>
        </w:rPr>
        <w:t xml:space="preserve">үзэл баримтлал”-ын </w:t>
      </w:r>
      <w:r w:rsidR="00F26283">
        <w:rPr>
          <w:lang w:val="mn-MN"/>
        </w:rPr>
        <w:t>боло</w:t>
      </w:r>
      <w:r w:rsidR="00CA65D3">
        <w:rPr>
          <w:lang w:val="mn-MN"/>
        </w:rPr>
        <w:t xml:space="preserve">всруулах ажлын хэсэгт  мэргэжил арга зүйн туслалцаа үзүүлэх,  шаардлагатай мэдээллийг  </w:t>
      </w:r>
      <w:r w:rsidR="00880942">
        <w:rPr>
          <w:lang w:val="mn-MN"/>
        </w:rPr>
        <w:t xml:space="preserve">бэлтгэх, </w:t>
      </w:r>
      <w:r>
        <w:rPr>
          <w:lang w:val="mn-MN"/>
        </w:rPr>
        <w:t xml:space="preserve">гаргах </w:t>
      </w:r>
      <w:r>
        <w:rPr>
          <w:lang w:val="mn-MN"/>
        </w:rPr>
        <w:lastRenderedPageBreak/>
        <w:t>чиглэлээр хамтран ажиллаж, 3 удаагийн хэлэлцүүлэгт оролцсон.</w:t>
      </w:r>
      <w:r w:rsidR="00CA65D3">
        <w:rPr>
          <w:lang w:val="mn-MN"/>
        </w:rPr>
        <w:t xml:space="preserve"> </w:t>
      </w:r>
      <w:r>
        <w:rPr>
          <w:lang w:val="mn-MN"/>
        </w:rPr>
        <w:t xml:space="preserve">Тухайлбал: Дэлхийн түвшинд тодорхойлогдсон үзүүлэлтүүдээс үндэсний түвшний тогтвортой хөгжлийн үзэл баримтлалд тусгах үзүүлэлтүүдийн саналыг хүргүүлэх,  дэлгэрэнгүй танилцуулгыг ажлыг хэсгийн гишүүдэд хийх, шаардлагатай тоо, мэдээллийг бэлтгэн хүргэх зэрэг ажлуудыг хийсэн. </w:t>
      </w:r>
    </w:p>
    <w:p w:rsidR="00F26283" w:rsidRDefault="00F26283" w:rsidP="00F26283">
      <w:pPr>
        <w:pStyle w:val="ListParagraph"/>
        <w:jc w:val="both"/>
        <w:rPr>
          <w:lang w:val="mn-MN"/>
        </w:rPr>
      </w:pPr>
    </w:p>
    <w:p w:rsidR="003151BD" w:rsidRPr="003151BD" w:rsidRDefault="00692346" w:rsidP="003151BD">
      <w:pPr>
        <w:pStyle w:val="ListParagraph"/>
        <w:numPr>
          <w:ilvl w:val="0"/>
          <w:numId w:val="1"/>
        </w:numPr>
        <w:jc w:val="both"/>
        <w:rPr>
          <w:lang w:val="mn-MN"/>
        </w:rPr>
      </w:pPr>
      <w:r w:rsidRPr="003151BD">
        <w:rPr>
          <w:lang w:val="mn-MN"/>
        </w:rPr>
        <w:t>“ТХЗ-ын үзүү</w:t>
      </w:r>
      <w:r w:rsidR="00213597" w:rsidRPr="003151BD">
        <w:rPr>
          <w:lang w:val="mn-MN"/>
        </w:rPr>
        <w:t xml:space="preserve">лэлтийг </w:t>
      </w:r>
      <w:r w:rsidR="00F26283" w:rsidRPr="003151BD">
        <w:rPr>
          <w:lang w:val="mn-MN"/>
        </w:rPr>
        <w:t xml:space="preserve">үнэлэх, </w:t>
      </w:r>
      <w:r w:rsidR="00880942" w:rsidRPr="003151BD">
        <w:rPr>
          <w:lang w:val="mn-MN"/>
        </w:rPr>
        <w:t>аргачлалыг тодорхойлох</w:t>
      </w:r>
      <w:r w:rsidR="00213597" w:rsidRPr="003151BD">
        <w:rPr>
          <w:lang w:val="mn-MN"/>
        </w:rPr>
        <w:t>”</w:t>
      </w:r>
      <w:r w:rsidR="00880942" w:rsidRPr="003151BD">
        <w:rPr>
          <w:lang w:val="mn-MN"/>
        </w:rPr>
        <w:t xml:space="preserve"> </w:t>
      </w:r>
      <w:r w:rsidR="00F26283" w:rsidRPr="003151BD">
        <w:rPr>
          <w:lang w:val="mn-MN"/>
        </w:rPr>
        <w:t xml:space="preserve">үүрэг бүхий </w:t>
      </w:r>
      <w:r w:rsidR="00880942" w:rsidRPr="003151BD">
        <w:rPr>
          <w:lang w:val="mn-MN"/>
        </w:rPr>
        <w:t xml:space="preserve"> </w:t>
      </w:r>
      <w:r w:rsidR="00A14CBC" w:rsidRPr="003151BD">
        <w:rPr>
          <w:lang w:val="mn-MN"/>
        </w:rPr>
        <w:t xml:space="preserve">ажлын хэсгийг дангаар хариуцан ажиллаж,  мөн үндэсний түвшний үзүүлэлтийг тодорхойлох бусад холбогдох ажлын хэсгийн бүрэлдэхүүнд хамтран оролцов.  </w:t>
      </w:r>
    </w:p>
    <w:p w:rsidR="003151BD" w:rsidRPr="003151BD" w:rsidRDefault="003151BD" w:rsidP="003151BD">
      <w:pPr>
        <w:pStyle w:val="ListParagraph"/>
        <w:rPr>
          <w:b/>
          <w:lang w:val="mn-MN"/>
        </w:rPr>
      </w:pPr>
    </w:p>
    <w:p w:rsidR="00EB76F1" w:rsidRPr="003151BD" w:rsidRDefault="00213597" w:rsidP="003151BD">
      <w:pPr>
        <w:pStyle w:val="ListParagraph"/>
        <w:numPr>
          <w:ilvl w:val="0"/>
          <w:numId w:val="10"/>
        </w:numPr>
        <w:ind w:left="90" w:firstLine="450"/>
        <w:jc w:val="both"/>
        <w:rPr>
          <w:lang w:val="mn-MN"/>
        </w:rPr>
      </w:pPr>
      <w:r w:rsidRPr="003151BD">
        <w:rPr>
          <w:b/>
          <w:lang w:val="mn-MN"/>
        </w:rPr>
        <w:t>Тогтвортой хөгжлийн зорилтын үзүүлэлтийг тооцох</w:t>
      </w:r>
      <w:r w:rsidR="008A15A9" w:rsidRPr="003151BD">
        <w:rPr>
          <w:b/>
          <w:lang w:val="mn-MN"/>
        </w:rPr>
        <w:t xml:space="preserve"> </w:t>
      </w:r>
      <w:r w:rsidRPr="003151BD">
        <w:rPr>
          <w:b/>
          <w:lang w:val="mn-MN"/>
        </w:rPr>
        <w:t>ар</w:t>
      </w:r>
      <w:r w:rsidR="008A15A9" w:rsidRPr="003151BD">
        <w:rPr>
          <w:b/>
          <w:lang w:val="mn-MN"/>
        </w:rPr>
        <w:t xml:space="preserve">гачлал, арга зүйд </w:t>
      </w:r>
      <w:r w:rsidR="00A14CBC" w:rsidRPr="003151BD">
        <w:rPr>
          <w:b/>
          <w:lang w:val="mn-MN"/>
        </w:rPr>
        <w:t xml:space="preserve">хийсэн үнэлгээ. </w:t>
      </w:r>
      <w:r w:rsidR="00A14CBC" w:rsidRPr="003151BD">
        <w:rPr>
          <w:lang w:val="mn-MN"/>
        </w:rPr>
        <w:t>НҮБ-ын Статистикийн комисоос батлагдсан “Б</w:t>
      </w:r>
      <w:r w:rsidR="005B2710" w:rsidRPr="003151BD">
        <w:rPr>
          <w:lang w:val="mn-MN"/>
        </w:rPr>
        <w:t>үс</w:t>
      </w:r>
      <w:r w:rsidR="00A14CBC" w:rsidRPr="003151BD">
        <w:rPr>
          <w:lang w:val="mn-MN"/>
        </w:rPr>
        <w:t>, дундын ажлын</w:t>
      </w:r>
      <w:r w:rsidR="005B2710" w:rsidRPr="003151BD">
        <w:rPr>
          <w:lang w:val="mn-MN"/>
        </w:rPr>
        <w:t xml:space="preserve"> хэс</w:t>
      </w:r>
      <w:r w:rsidR="00A14CBC" w:rsidRPr="003151BD">
        <w:rPr>
          <w:lang w:val="mn-MN"/>
        </w:rPr>
        <w:t>эг”-</w:t>
      </w:r>
      <w:r w:rsidR="00EB76F1" w:rsidRPr="003151BD">
        <w:rPr>
          <w:lang w:val="mn-MN"/>
        </w:rPr>
        <w:t xml:space="preserve">ээс </w:t>
      </w:r>
      <w:r w:rsidR="005B2710" w:rsidRPr="003151BD">
        <w:rPr>
          <w:lang w:val="mn-MN"/>
        </w:rPr>
        <w:t xml:space="preserve">ТХЗ-ын шалгуур </w:t>
      </w:r>
      <w:r w:rsidR="005B2710" w:rsidRPr="003151BD">
        <w:rPr>
          <w:u w:val="single"/>
          <w:lang w:val="mn-MN"/>
        </w:rPr>
        <w:t>241 үзүүлэлтийг</w:t>
      </w:r>
      <w:r w:rsidR="005B2710" w:rsidRPr="003151BD">
        <w:rPr>
          <w:lang w:val="mn-MN"/>
        </w:rPr>
        <w:t xml:space="preserve"> 2016 оны 3 сарын 24-ны байдлаар тодорхойлж, улс орнуудад  ирүүлсэн. </w:t>
      </w:r>
    </w:p>
    <w:p w:rsidR="00EB76F1" w:rsidRDefault="00A14CBC" w:rsidP="00EB76F1">
      <w:pPr>
        <w:ind w:left="90" w:firstLine="360"/>
        <w:jc w:val="both"/>
        <w:rPr>
          <w:lang w:val="mn-MN"/>
        </w:rPr>
      </w:pPr>
      <w:r w:rsidRPr="00EB76F1">
        <w:rPr>
          <w:lang w:val="mn-MN"/>
        </w:rPr>
        <w:t xml:space="preserve">ТХЗ-ын шалгуур </w:t>
      </w:r>
      <w:r w:rsidR="005B2710" w:rsidRPr="00EB76F1">
        <w:rPr>
          <w:lang w:val="mn-MN"/>
        </w:rPr>
        <w:t>241 үзүүлэлтийг тооцон гаргахад ашиглагдах аргачлал, арга зүй</w:t>
      </w:r>
      <w:r w:rsidRPr="00EB76F1">
        <w:rPr>
          <w:lang w:val="mn-MN"/>
        </w:rPr>
        <w:t>н бэлэн байд</w:t>
      </w:r>
      <w:r w:rsidR="00EB76F1">
        <w:rPr>
          <w:lang w:val="mn-MN"/>
        </w:rPr>
        <w:t>лын</w:t>
      </w:r>
      <w:r w:rsidRPr="00EB76F1">
        <w:rPr>
          <w:lang w:val="mn-MN"/>
        </w:rPr>
        <w:t xml:space="preserve">  үнэлгээг </w:t>
      </w:r>
      <w:r w:rsidR="00EB6700">
        <w:rPr>
          <w:lang w:val="mn-MN"/>
        </w:rPr>
        <w:t xml:space="preserve"> тус ажлын</w:t>
      </w:r>
      <w:r w:rsidR="00EB76F1">
        <w:rPr>
          <w:lang w:val="mn-MN"/>
        </w:rPr>
        <w:t xml:space="preserve"> хэсгээс гаргасан</w:t>
      </w:r>
      <w:r w:rsidR="00EB76F1" w:rsidRPr="00EB76F1">
        <w:rPr>
          <w:lang w:val="mn-MN"/>
        </w:rPr>
        <w:t xml:space="preserve"> </w:t>
      </w:r>
      <w:r w:rsidR="00F50E08" w:rsidRPr="00EB76F1">
        <w:rPr>
          <w:lang w:val="mn-MN"/>
        </w:rPr>
        <w:t>“ТХЗ-ын шалгуур үзүүлэлтүүдийн м</w:t>
      </w:r>
      <w:r w:rsidR="005B2710" w:rsidRPr="00EB76F1">
        <w:rPr>
          <w:lang w:val="mn-MN"/>
        </w:rPr>
        <w:t>ета мэдээллийн</w:t>
      </w:r>
      <w:r w:rsidR="00EB76F1" w:rsidRPr="00EB76F1">
        <w:rPr>
          <w:lang w:val="mn-MN"/>
        </w:rPr>
        <w:t xml:space="preserve"> сан”-д </w:t>
      </w:r>
      <w:r w:rsidR="005B2710" w:rsidRPr="00EB76F1">
        <w:rPr>
          <w:lang w:val="mn-MN"/>
        </w:rPr>
        <w:t xml:space="preserve"> </w:t>
      </w:r>
      <w:r w:rsidR="00EB76F1" w:rsidRPr="00EB76F1">
        <w:rPr>
          <w:lang w:val="mn-MN"/>
        </w:rPr>
        <w:t>суурилан хийлээ.</w:t>
      </w:r>
    </w:p>
    <w:p w:rsidR="00567CA7" w:rsidRPr="00EB76F1" w:rsidRDefault="005B2710" w:rsidP="00EB76F1">
      <w:pPr>
        <w:ind w:left="90" w:firstLine="360"/>
        <w:jc w:val="both"/>
        <w:rPr>
          <w:b/>
          <w:lang w:val="mn-MN"/>
        </w:rPr>
      </w:pPr>
      <w:r w:rsidRPr="00EB76F1">
        <w:rPr>
          <w:lang w:val="mn-MN"/>
        </w:rPr>
        <w:t xml:space="preserve">Үнэлгээгээр  ТХЗ-ын шалгуур </w:t>
      </w:r>
      <w:r w:rsidRPr="00EB76F1">
        <w:rPr>
          <w:u w:val="single"/>
          <w:lang w:val="mn-MN"/>
        </w:rPr>
        <w:t>241 үзүүлэлтийн 135  нь буюу 56.0 хувь</w:t>
      </w:r>
      <w:r w:rsidRPr="00EB76F1">
        <w:rPr>
          <w:lang w:val="mn-MN"/>
        </w:rPr>
        <w:t xml:space="preserve"> нь тооцох аргачлал, арга зүйтэй, </w:t>
      </w:r>
      <w:r w:rsidRPr="00EB76F1">
        <w:rPr>
          <w:u w:val="single"/>
          <w:lang w:val="mn-MN"/>
        </w:rPr>
        <w:t>106 буюу 44 хувь нь</w:t>
      </w:r>
      <w:r w:rsidRPr="00EB76F1">
        <w:rPr>
          <w:lang w:val="mn-MN"/>
        </w:rPr>
        <w:t xml:space="preserve"> тооцох аргачлал, арга зүй нь одоогоор тодорхой бус, бэлэн болоогүй байна. </w:t>
      </w:r>
      <w:r w:rsidR="00EB76F1">
        <w:rPr>
          <w:lang w:val="mn-MN"/>
        </w:rPr>
        <w:t xml:space="preserve"> Үр дүнг хүснэгт 1-д, </w:t>
      </w:r>
      <w:r w:rsidR="00F50E08" w:rsidRPr="00EB76F1">
        <w:rPr>
          <w:lang w:val="mn-MN"/>
        </w:rPr>
        <w:t xml:space="preserve">зорилго тус  бүрээр харуулав. </w:t>
      </w:r>
    </w:p>
    <w:p w:rsidR="00F50E08" w:rsidRPr="00567CA7" w:rsidRDefault="00F50E08" w:rsidP="00567CA7">
      <w:pPr>
        <w:ind w:left="720" w:firstLine="360"/>
        <w:jc w:val="right"/>
        <w:rPr>
          <w:b/>
          <w:lang w:val="mn-MN"/>
        </w:rPr>
      </w:pPr>
      <w:r w:rsidRPr="00567CA7">
        <w:rPr>
          <w:lang w:val="mn-MN"/>
        </w:rPr>
        <w:t>Хүснэгт 1</w:t>
      </w:r>
    </w:p>
    <w:p w:rsidR="00F50E08" w:rsidRDefault="00F50E08" w:rsidP="00F50E08">
      <w:pPr>
        <w:pStyle w:val="ListParagraph"/>
        <w:spacing w:after="0"/>
        <w:ind w:left="1080"/>
        <w:jc w:val="center"/>
        <w:rPr>
          <w:b/>
          <w:lang w:val="mn-MN"/>
        </w:rPr>
      </w:pPr>
      <w:r w:rsidRPr="00213597">
        <w:rPr>
          <w:b/>
          <w:lang w:val="mn-MN"/>
        </w:rPr>
        <w:t>Тогтвортой хөгжлийн зорилтын үзүүлэлтийг тооцох</w:t>
      </w:r>
    </w:p>
    <w:p w:rsidR="00F50E08" w:rsidRDefault="00F50E08" w:rsidP="00F50E08">
      <w:pPr>
        <w:pStyle w:val="ListParagraph"/>
        <w:spacing w:after="0"/>
        <w:ind w:left="1080"/>
        <w:jc w:val="center"/>
        <w:rPr>
          <w:b/>
          <w:lang w:val="mn-MN"/>
        </w:rPr>
      </w:pPr>
      <w:r w:rsidRPr="00213597">
        <w:rPr>
          <w:b/>
          <w:lang w:val="mn-MN"/>
        </w:rPr>
        <w:t>ар</w:t>
      </w:r>
      <w:r>
        <w:rPr>
          <w:b/>
          <w:lang w:val="mn-MN"/>
        </w:rPr>
        <w:t xml:space="preserve">гачлал, арга зүйд </w:t>
      </w:r>
      <w:r w:rsidRPr="00213597">
        <w:rPr>
          <w:b/>
          <w:lang w:val="mn-MN"/>
        </w:rPr>
        <w:t>хийсэн үнэлгээ</w:t>
      </w:r>
      <w:r>
        <w:rPr>
          <w:b/>
          <w:lang w:val="mn-MN"/>
        </w:rPr>
        <w:t>*</w:t>
      </w:r>
    </w:p>
    <w:tbl>
      <w:tblPr>
        <w:tblW w:w="9528" w:type="dxa"/>
        <w:jc w:val="center"/>
        <w:tblLayout w:type="fixed"/>
        <w:tblLook w:val="04A0" w:firstRow="1" w:lastRow="0" w:firstColumn="1" w:lastColumn="0" w:noHBand="0" w:noVBand="1"/>
      </w:tblPr>
      <w:tblGrid>
        <w:gridCol w:w="1301"/>
        <w:gridCol w:w="4273"/>
        <w:gridCol w:w="1350"/>
        <w:gridCol w:w="1152"/>
        <w:gridCol w:w="1452"/>
      </w:tblGrid>
      <w:tr w:rsidR="0066144B" w:rsidRPr="00F13FFE" w:rsidTr="00804C93">
        <w:trPr>
          <w:trHeight w:val="448"/>
          <w:jc w:val="center"/>
        </w:trPr>
        <w:tc>
          <w:tcPr>
            <w:tcW w:w="13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Зорилго</w:t>
            </w:r>
            <w:proofErr w:type="spellEnd"/>
          </w:p>
        </w:tc>
        <w:tc>
          <w:tcPr>
            <w:tcW w:w="4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Зорилгын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нэр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</w:tcBorders>
            <w:shd w:val="clear" w:color="000000" w:fill="D99795"/>
            <w:vAlign w:val="center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Үзүүлэлт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бүгд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6144B" w:rsidRPr="00F13FFE" w:rsidRDefault="00870678" w:rsidP="008706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ОУ-ын нэгдсэн а</w:t>
            </w:r>
            <w:proofErr w:type="spellStart"/>
            <w:r w:rsidR="0066144B" w:rsidRPr="00F13FFE">
              <w:rPr>
                <w:rFonts w:eastAsia="Times New Roman" w:cs="Arial"/>
                <w:color w:val="000000"/>
                <w:sz w:val="20"/>
                <w:szCs w:val="20"/>
              </w:rPr>
              <w:t>ргачлал</w:t>
            </w:r>
            <w:proofErr w:type="spellEnd"/>
            <w:r w:rsidR="0066144B"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6144B" w:rsidRPr="00F13FFE">
              <w:rPr>
                <w:rFonts w:eastAsia="Times New Roman" w:cs="Arial"/>
                <w:color w:val="000000"/>
                <w:sz w:val="20"/>
                <w:szCs w:val="20"/>
              </w:rPr>
              <w:t>арга</w:t>
            </w:r>
            <w:proofErr w:type="spellEnd"/>
            <w:r w:rsidR="0066144B"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144B" w:rsidRPr="00F13FFE">
              <w:rPr>
                <w:rFonts w:eastAsia="Times New Roman" w:cs="Arial"/>
                <w:color w:val="000000"/>
                <w:sz w:val="20"/>
                <w:szCs w:val="20"/>
              </w:rPr>
              <w:t>зүйтэй</w:t>
            </w:r>
            <w:proofErr w:type="spellEnd"/>
            <w:r w:rsidR="0066144B"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144B" w:rsidRPr="00F13FFE">
              <w:rPr>
                <w:rFonts w:eastAsia="Times New Roman" w:cs="Arial"/>
                <w:color w:val="000000"/>
                <w:sz w:val="20"/>
                <w:szCs w:val="20"/>
              </w:rPr>
              <w:t>эсэх</w:t>
            </w:r>
            <w:proofErr w:type="spellEnd"/>
            <w:r w:rsidR="0066144B"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6144B" w:rsidRPr="00F13FFE" w:rsidTr="00804C93">
        <w:trPr>
          <w:trHeight w:val="232"/>
          <w:jc w:val="center"/>
        </w:trPr>
        <w:tc>
          <w:tcPr>
            <w:tcW w:w="13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44B" w:rsidRPr="00F13FFE" w:rsidRDefault="0066144B" w:rsidP="00F13FF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44B" w:rsidRPr="00F13FFE" w:rsidRDefault="0066144B" w:rsidP="00F13FF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44B" w:rsidRPr="00F13FFE" w:rsidRDefault="0066144B" w:rsidP="00F13FF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Тийм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Үгүй</w:t>
            </w:r>
            <w:proofErr w:type="spellEnd"/>
          </w:p>
        </w:tc>
      </w:tr>
      <w:tr w:rsidR="0066144B" w:rsidRPr="00F13FFE" w:rsidTr="00804C93">
        <w:trPr>
          <w:trHeight w:val="142"/>
          <w:jc w:val="center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Ядуурлыг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устгах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 12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66144B" w:rsidRPr="00F13FFE" w:rsidTr="00804C93">
        <w:trPr>
          <w:trHeight w:val="255"/>
          <w:jc w:val="center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Өлсгөлөнг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зогсоох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66144B" w:rsidRPr="00F13FFE" w:rsidTr="00804C93">
        <w:trPr>
          <w:trHeight w:val="255"/>
          <w:jc w:val="center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Эрүүл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мэндийг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дэмжих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 26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66144B" w:rsidRPr="00F13FFE" w:rsidTr="00804C93">
        <w:trPr>
          <w:trHeight w:val="255"/>
          <w:jc w:val="center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Чанартай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боловсролыг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дэмжих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 11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66144B" w:rsidRPr="00F13FFE" w:rsidTr="00804C93">
        <w:trPr>
          <w:trHeight w:val="278"/>
          <w:jc w:val="center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Жендэрийн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эрх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тэгш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байдлыг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хангах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 14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66144B" w:rsidRPr="00F13FFE" w:rsidTr="00804C93">
        <w:trPr>
          <w:trHeight w:val="413"/>
          <w:jc w:val="center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Баталгаат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ундны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ус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ариун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цэврийн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байгууламжаар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хангах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 11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66144B" w:rsidRPr="00F13FFE" w:rsidTr="00804C93">
        <w:trPr>
          <w:trHeight w:val="341"/>
          <w:jc w:val="center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Сэргээгдэх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эрчим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хүчийг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нэвтрүүлэх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 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66144B" w:rsidRPr="00F13FFE" w:rsidTr="00804C93">
        <w:trPr>
          <w:trHeight w:val="314"/>
          <w:jc w:val="center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Эдийн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засгийн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өсөлт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баталгаат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ажлын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байрыг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бий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болгох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 17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66144B" w:rsidRPr="00F13FFE" w:rsidTr="00804C93">
        <w:trPr>
          <w:trHeight w:val="323"/>
          <w:jc w:val="center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Инноваци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болон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дэд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бүтцийг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нэмэгдүүлэх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 12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66144B" w:rsidRPr="00F13FFE" w:rsidTr="00804C93">
        <w:trPr>
          <w:trHeight w:val="107"/>
          <w:jc w:val="center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Тэгш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бус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байдлыг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бууруулах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 11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66144B" w:rsidRPr="00F13FFE" w:rsidTr="00804C93">
        <w:trPr>
          <w:trHeight w:val="296"/>
          <w:jc w:val="center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Ээлтэй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хот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иргэдийн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оролцоог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дэмжих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 15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66144B" w:rsidRPr="00F13FFE" w:rsidTr="00804C93">
        <w:trPr>
          <w:trHeight w:val="188"/>
          <w:jc w:val="center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Хариуцлагатай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хэрэглээг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дэмжих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 13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</w:tr>
      <w:tr w:rsidR="0066144B" w:rsidRPr="00F13FFE" w:rsidTr="00804C93">
        <w:trPr>
          <w:trHeight w:val="431"/>
          <w:jc w:val="center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Уур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амьсгалын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өөрчлөлтийн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үр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нөлөөг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багасгах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 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66144B" w:rsidRPr="00F13FFE" w:rsidTr="00804C93">
        <w:trPr>
          <w:trHeight w:val="188"/>
          <w:jc w:val="center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Далай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тэнгисийн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нөөцийг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хамгаалах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 10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</w:tr>
      <w:tr w:rsidR="0066144B" w:rsidRPr="00F13FFE" w:rsidTr="00804C93">
        <w:trPr>
          <w:trHeight w:val="332"/>
          <w:jc w:val="center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Хуурай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газрын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эко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системийг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хамгаалах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 14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66144B" w:rsidRPr="00F13FFE" w:rsidTr="00804C93">
        <w:trPr>
          <w:trHeight w:val="143"/>
          <w:jc w:val="center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Энх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тайван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шударга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ёсыг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цогцлоох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 23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66144B" w:rsidRPr="00F13FFE" w:rsidTr="00804C93">
        <w:trPr>
          <w:trHeight w:val="161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Хөгжлийн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төлөөх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түншлэлийг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бэхжүүлэх</w:t>
            </w:r>
            <w:proofErr w:type="spellEnd"/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 xml:space="preserve"> 25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</w:tr>
      <w:tr w:rsidR="0066144B" w:rsidRPr="00F13FFE" w:rsidTr="00804C93">
        <w:trPr>
          <w:trHeight w:val="142"/>
          <w:jc w:val="center"/>
        </w:trPr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FF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Дүн</w:t>
            </w:r>
            <w:proofErr w:type="spellEnd"/>
            <w:r w:rsidRPr="00F13FF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144B" w:rsidRPr="00F13FFE" w:rsidRDefault="0066144B" w:rsidP="00F13F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3FF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</w:tbl>
    <w:p w:rsidR="00F50E08" w:rsidRDefault="00F50E08" w:rsidP="00F26283">
      <w:r>
        <w:rPr>
          <w:lang w:val="mn-MN"/>
        </w:rPr>
        <w:t xml:space="preserve">  *- Үзүүлэлт тус бүрээр хийсэн </w:t>
      </w:r>
      <w:r w:rsidR="00803103">
        <w:rPr>
          <w:lang w:val="mn-MN"/>
        </w:rPr>
        <w:t xml:space="preserve"> дэлгэрэнгүй </w:t>
      </w:r>
      <w:r>
        <w:rPr>
          <w:lang w:val="mn-MN"/>
        </w:rPr>
        <w:t xml:space="preserve">үнэлгээг </w:t>
      </w:r>
      <w:r w:rsidR="00803103">
        <w:rPr>
          <w:lang w:val="mn-MN"/>
        </w:rPr>
        <w:t xml:space="preserve"> </w:t>
      </w:r>
      <w:r w:rsidR="00F13FFE">
        <w:rPr>
          <w:lang w:val="mn-MN"/>
        </w:rPr>
        <w:t>хавсралт хүснэгтээр</w:t>
      </w:r>
      <w:r>
        <w:rPr>
          <w:lang w:val="mn-MN"/>
        </w:rPr>
        <w:t xml:space="preserve"> харуулав. </w:t>
      </w:r>
    </w:p>
    <w:p w:rsidR="00987521" w:rsidRDefault="00EB6700" w:rsidP="006D1404">
      <w:pPr>
        <w:ind w:firstLine="360"/>
        <w:jc w:val="both"/>
        <w:rPr>
          <w:lang w:val="mn-MN"/>
        </w:rPr>
      </w:pPr>
      <w:r>
        <w:rPr>
          <w:lang w:val="mn-MN"/>
        </w:rPr>
        <w:t>ОУ-ын байгууллагаас гаргасан т</w:t>
      </w:r>
      <w:r w:rsidR="00A65671">
        <w:rPr>
          <w:lang w:val="mn-MN"/>
        </w:rPr>
        <w:t xml:space="preserve">ооцох аргачлал, арга зүй нь бэлэн байгаа 135 үзүүлэлтийн </w:t>
      </w:r>
      <w:r w:rsidR="00F13FFE">
        <w:rPr>
          <w:lang w:val="mn-MN"/>
        </w:rPr>
        <w:t xml:space="preserve">58 нь </w:t>
      </w:r>
      <w:r w:rsidR="00A65671">
        <w:rPr>
          <w:lang w:val="mn-MN"/>
        </w:rPr>
        <w:t>Монгол улсын хувьд</w:t>
      </w:r>
      <w:r w:rsidR="00F13FFE">
        <w:rPr>
          <w:lang w:val="mn-MN"/>
        </w:rPr>
        <w:t xml:space="preserve"> гарах боломжтой, 77 нь</w:t>
      </w:r>
      <w:r w:rsidR="00A65671">
        <w:rPr>
          <w:lang w:val="mn-MN"/>
        </w:rPr>
        <w:t xml:space="preserve"> одоогоор гаргах боломжгүй, мэдээллийн эх үүсвэрийг бий болгох,  тооллого, судалгаа</w:t>
      </w:r>
      <w:r w:rsidR="008518CC">
        <w:rPr>
          <w:lang w:val="mn-MN"/>
        </w:rPr>
        <w:t>, мэдээ, тайлангийн</w:t>
      </w:r>
      <w:r w:rsidR="00A65671">
        <w:rPr>
          <w:lang w:val="mn-MN"/>
        </w:rPr>
        <w:t xml:space="preserve"> асуулгад нэмэлт асуулт тусгах,</w:t>
      </w:r>
      <w:r w:rsidR="008518CC">
        <w:rPr>
          <w:lang w:val="mn-MN"/>
        </w:rPr>
        <w:t xml:space="preserve"> өрхөд суурилсан шинэ судалгаа явуулж тодорхойлох шаардлагатай үзүүлэлтүүд байна. </w:t>
      </w:r>
    </w:p>
    <w:p w:rsidR="00692346" w:rsidRPr="003151BD" w:rsidRDefault="00692346" w:rsidP="003151BD">
      <w:pPr>
        <w:pStyle w:val="ListParagraph"/>
        <w:numPr>
          <w:ilvl w:val="0"/>
          <w:numId w:val="10"/>
        </w:numPr>
        <w:ind w:left="0" w:firstLine="630"/>
        <w:jc w:val="both"/>
        <w:rPr>
          <w:lang w:val="mn-MN"/>
        </w:rPr>
      </w:pPr>
      <w:r w:rsidRPr="003151BD">
        <w:rPr>
          <w:b/>
          <w:lang w:val="mn-MN"/>
        </w:rPr>
        <w:t>Тогтвортой хөгжлийн зорилтын үзүүлэлтүүдэд хийсэн үнэлгээ</w:t>
      </w:r>
      <w:r w:rsidR="003151BD" w:rsidRPr="003151BD">
        <w:rPr>
          <w:b/>
        </w:rPr>
        <w:t xml:space="preserve">. </w:t>
      </w:r>
      <w:r w:rsidR="00647359" w:rsidRPr="003151BD">
        <w:rPr>
          <w:lang w:val="mn-MN"/>
        </w:rPr>
        <w:t>ТХЗ-ын шалгуур 241 үзүүлэлтээс МУ-д хамааралгүй 13 үзүүлэлтийг хасч,  үлдсэн 228 үзүүлэлтийн гаргах боломжид</w:t>
      </w:r>
      <w:r w:rsidRPr="003151BD">
        <w:rPr>
          <w:lang w:val="mn-MN"/>
        </w:rPr>
        <w:t xml:space="preserve"> үнэлгээ хийхэд  </w:t>
      </w:r>
      <w:r w:rsidR="00185013" w:rsidRPr="003151BD">
        <w:rPr>
          <w:u w:val="single"/>
          <w:lang w:val="mn-MN"/>
        </w:rPr>
        <w:t>7</w:t>
      </w:r>
      <w:r w:rsidR="008D28A9" w:rsidRPr="003151BD">
        <w:rPr>
          <w:u w:val="single"/>
          <w:lang w:val="mn-MN"/>
        </w:rPr>
        <w:t>1</w:t>
      </w:r>
      <w:r w:rsidR="00B2552B" w:rsidRPr="003151BD">
        <w:rPr>
          <w:u w:val="single"/>
          <w:lang w:val="mn-MN"/>
        </w:rPr>
        <w:t xml:space="preserve"> </w:t>
      </w:r>
      <w:r w:rsidRPr="003151BD">
        <w:rPr>
          <w:u w:val="single"/>
          <w:lang w:val="mn-MN"/>
        </w:rPr>
        <w:t>үзүүлэлт</w:t>
      </w:r>
      <w:r w:rsidRPr="003151BD">
        <w:rPr>
          <w:lang w:val="mn-MN"/>
        </w:rPr>
        <w:t xml:space="preserve"> нь  гаргах боломжтой, </w:t>
      </w:r>
      <w:r w:rsidR="00B2552B">
        <w:t>(</w:t>
      </w:r>
      <w:r w:rsidR="00B2552B" w:rsidRPr="003151BD">
        <w:rPr>
          <w:lang w:val="mn-MN"/>
        </w:rPr>
        <w:t xml:space="preserve">үүнээс </w:t>
      </w:r>
      <w:r w:rsidR="00185013" w:rsidRPr="003151BD">
        <w:rPr>
          <w:u w:val="single"/>
        </w:rPr>
        <w:t>6</w:t>
      </w:r>
      <w:r w:rsidR="008D28A9" w:rsidRPr="003151BD">
        <w:rPr>
          <w:u w:val="single"/>
          <w:lang w:val="mn-MN"/>
        </w:rPr>
        <w:t>0</w:t>
      </w:r>
      <w:r w:rsidR="00B2552B" w:rsidRPr="003151BD">
        <w:rPr>
          <w:u w:val="single"/>
        </w:rPr>
        <w:t xml:space="preserve"> </w:t>
      </w:r>
      <w:r w:rsidR="00B2552B" w:rsidRPr="003151BD">
        <w:rPr>
          <w:u w:val="single"/>
          <w:lang w:val="mn-MN"/>
        </w:rPr>
        <w:t xml:space="preserve"> үзүүлэлт нь</w:t>
      </w:r>
      <w:r w:rsidR="00B2552B" w:rsidRPr="003151BD">
        <w:rPr>
          <w:lang w:val="mn-MN"/>
        </w:rPr>
        <w:t xml:space="preserve"> шууд гаргах, </w:t>
      </w:r>
      <w:r w:rsidRPr="003151BD">
        <w:rPr>
          <w:u w:val="single"/>
          <w:lang w:val="mn-MN"/>
        </w:rPr>
        <w:t>1</w:t>
      </w:r>
      <w:r w:rsidR="00185013" w:rsidRPr="003151BD">
        <w:rPr>
          <w:u w:val="single"/>
          <w:lang w:val="mn-MN"/>
        </w:rPr>
        <w:t>1</w:t>
      </w:r>
      <w:r w:rsidRPr="003151BD">
        <w:rPr>
          <w:u w:val="single"/>
          <w:lang w:val="mn-MN"/>
        </w:rPr>
        <w:t xml:space="preserve"> үзүүлэлт нь</w:t>
      </w:r>
      <w:r w:rsidR="00B2552B" w:rsidRPr="003151BD">
        <w:rPr>
          <w:lang w:val="mn-MN"/>
        </w:rPr>
        <w:t xml:space="preserve">  дахин тооцоолол хийж, задаргаа тус бүрээр гаргах боломжтой</w:t>
      </w:r>
      <w:r w:rsidR="00B2552B">
        <w:t>)</w:t>
      </w:r>
      <w:r w:rsidR="00B2552B" w:rsidRPr="003151BD">
        <w:rPr>
          <w:lang w:val="mn-MN"/>
        </w:rPr>
        <w:t xml:space="preserve">, </w:t>
      </w:r>
      <w:r w:rsidR="00647359" w:rsidRPr="003151BD">
        <w:rPr>
          <w:lang w:val="mn-MN"/>
        </w:rPr>
        <w:t>157</w:t>
      </w:r>
      <w:r w:rsidRPr="003151BD">
        <w:rPr>
          <w:lang w:val="mn-MN"/>
        </w:rPr>
        <w:t xml:space="preserve"> үзүүлэлт нь мэдээллийн эх үүсвэр, тооцох аргачлал, арга зүйг бий болгох, тооллого, судалгаа, мэдээ, тайланд нэмэлт асуулт тусгах, </w:t>
      </w:r>
      <w:r w:rsidR="00B2552B" w:rsidRPr="003151BD">
        <w:rPr>
          <w:lang w:val="mn-MN"/>
        </w:rPr>
        <w:t xml:space="preserve">тусгайлсан судалгаа явуулж гаргах шаардлагатай үзүүлэлтүүд байна. </w:t>
      </w:r>
    </w:p>
    <w:p w:rsidR="006E15B4" w:rsidRPr="00567CA7" w:rsidRDefault="006E15B4" w:rsidP="006E15B4">
      <w:pPr>
        <w:ind w:left="720" w:firstLine="360"/>
        <w:jc w:val="right"/>
        <w:rPr>
          <w:b/>
          <w:lang w:val="mn-MN"/>
        </w:rPr>
      </w:pPr>
      <w:r>
        <w:rPr>
          <w:lang w:val="mn-MN"/>
        </w:rPr>
        <w:t>Хүснэгт 2</w:t>
      </w:r>
    </w:p>
    <w:p w:rsidR="006E15B4" w:rsidRPr="00C07994" w:rsidRDefault="006E15B4" w:rsidP="00C07994">
      <w:pPr>
        <w:pStyle w:val="ListParagraph"/>
        <w:spacing w:after="0"/>
        <w:ind w:left="1080"/>
        <w:jc w:val="center"/>
        <w:rPr>
          <w:b/>
          <w:lang w:val="mn-MN"/>
        </w:rPr>
      </w:pPr>
      <w:r w:rsidRPr="00213597">
        <w:rPr>
          <w:b/>
          <w:lang w:val="mn-MN"/>
        </w:rPr>
        <w:t>Тогтвортой хөгж</w:t>
      </w:r>
      <w:r w:rsidR="00C07994">
        <w:rPr>
          <w:b/>
          <w:lang w:val="mn-MN"/>
        </w:rPr>
        <w:t>лийн зорилтын үзүүлэлт</w:t>
      </w:r>
      <w:r w:rsidR="00870678">
        <w:rPr>
          <w:b/>
          <w:lang w:val="mn-MN"/>
        </w:rPr>
        <w:t>үүд</w:t>
      </w:r>
      <w:r w:rsidR="00C07994">
        <w:rPr>
          <w:b/>
          <w:lang w:val="mn-MN"/>
        </w:rPr>
        <w:t xml:space="preserve">эд хийсэн </w:t>
      </w:r>
      <w:r w:rsidRPr="00C07994">
        <w:rPr>
          <w:b/>
          <w:lang w:val="mn-MN"/>
        </w:rPr>
        <w:t>үнэлгээ</w:t>
      </w:r>
    </w:p>
    <w:tbl>
      <w:tblPr>
        <w:tblW w:w="10080" w:type="dxa"/>
        <w:tblInd w:w="108" w:type="dxa"/>
        <w:tblBorders>
          <w:top w:val="single" w:sz="8" w:space="0" w:color="auto"/>
          <w:bottom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209"/>
        <w:gridCol w:w="1080"/>
        <w:gridCol w:w="1170"/>
        <w:gridCol w:w="1080"/>
        <w:gridCol w:w="900"/>
        <w:gridCol w:w="990"/>
        <w:gridCol w:w="1080"/>
      </w:tblGrid>
      <w:tr w:rsidR="00804C93" w:rsidRPr="00EB6700" w:rsidTr="00804C93">
        <w:trPr>
          <w:trHeight w:val="196"/>
        </w:trPr>
        <w:tc>
          <w:tcPr>
            <w:tcW w:w="571" w:type="dxa"/>
            <w:vMerge w:val="restart"/>
            <w:shd w:val="clear" w:color="000000" w:fill="D99795"/>
            <w:vAlign w:val="center"/>
            <w:hideMark/>
          </w:tcPr>
          <w:p w:rsidR="00647359" w:rsidRPr="00EB6700" w:rsidRDefault="00647359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vMerge w:val="restart"/>
            <w:shd w:val="clear" w:color="000000" w:fill="D99795"/>
            <w:vAlign w:val="center"/>
            <w:hideMark/>
          </w:tcPr>
          <w:p w:rsidR="00647359" w:rsidRPr="00EB6700" w:rsidRDefault="00647359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shd w:val="clear" w:color="000000" w:fill="D99795"/>
            <w:vAlign w:val="center"/>
            <w:hideMark/>
          </w:tcPr>
          <w:p w:rsidR="00647359" w:rsidRPr="00EB6700" w:rsidRDefault="00647359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ТХЗ-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ын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үзүүлэл</w:t>
            </w:r>
            <w:proofErr w:type="spellEnd"/>
            <w:r w:rsidR="00804C93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т</w:t>
            </w: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бүгд</w:t>
            </w:r>
            <w:proofErr w:type="spellEnd"/>
          </w:p>
        </w:tc>
        <w:tc>
          <w:tcPr>
            <w:tcW w:w="1170" w:type="dxa"/>
            <w:vMerge w:val="restart"/>
            <w:shd w:val="clear" w:color="000000" w:fill="D99795"/>
            <w:vAlign w:val="center"/>
            <w:hideMark/>
          </w:tcPr>
          <w:p w:rsidR="00647359" w:rsidRPr="00EB6700" w:rsidRDefault="00647359" w:rsidP="00EB67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647359" w:rsidRPr="00EB6700" w:rsidRDefault="00647359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Монгол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улсад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хамаарал</w:t>
            </w:r>
            <w:proofErr w:type="spellEnd"/>
            <w:r w:rsidR="00804C93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-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гүй</w:t>
            </w:r>
            <w:proofErr w:type="spellEnd"/>
          </w:p>
        </w:tc>
        <w:tc>
          <w:tcPr>
            <w:tcW w:w="1080" w:type="dxa"/>
            <w:vMerge w:val="restart"/>
            <w:tcBorders>
              <w:right w:val="nil"/>
            </w:tcBorders>
            <w:shd w:val="clear" w:color="000000" w:fill="D99795"/>
            <w:vAlign w:val="center"/>
            <w:hideMark/>
          </w:tcPr>
          <w:p w:rsidR="00647359" w:rsidRPr="00EB6700" w:rsidRDefault="00647359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МУ-д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хамааралтай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ТХЗ-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ын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үзүүлэлт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бүгд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dotted" w:sz="4" w:space="0" w:color="auto"/>
            </w:tcBorders>
            <w:shd w:val="clear" w:color="000000" w:fill="D99795"/>
            <w:vAlign w:val="center"/>
            <w:hideMark/>
          </w:tcPr>
          <w:p w:rsidR="00647359" w:rsidRPr="00EB6700" w:rsidRDefault="00647359" w:rsidP="00EB67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shd w:val="clear" w:color="000000" w:fill="D99795"/>
            <w:vAlign w:val="center"/>
            <w:hideMark/>
          </w:tcPr>
          <w:p w:rsidR="00647359" w:rsidRPr="00EB6700" w:rsidRDefault="00647359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Гарахгүй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</w:tr>
      <w:tr w:rsidR="00804C93" w:rsidRPr="00EB6700" w:rsidTr="00804C93">
        <w:trPr>
          <w:trHeight w:val="1340"/>
        </w:trPr>
        <w:tc>
          <w:tcPr>
            <w:tcW w:w="571" w:type="dxa"/>
            <w:vMerge/>
            <w:vAlign w:val="center"/>
            <w:hideMark/>
          </w:tcPr>
          <w:p w:rsidR="00647359" w:rsidRPr="00EB6700" w:rsidRDefault="00647359" w:rsidP="00EB67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vMerge/>
            <w:vAlign w:val="center"/>
            <w:hideMark/>
          </w:tcPr>
          <w:p w:rsidR="00647359" w:rsidRPr="00EB6700" w:rsidRDefault="00647359" w:rsidP="00EB67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647359" w:rsidRPr="00EB6700" w:rsidRDefault="00647359" w:rsidP="00EB67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000000" w:fill="D99795"/>
            <w:vAlign w:val="center"/>
            <w:hideMark/>
          </w:tcPr>
          <w:p w:rsidR="00647359" w:rsidRPr="00EB6700" w:rsidRDefault="00647359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647359" w:rsidRPr="00EB6700" w:rsidRDefault="00647359" w:rsidP="00EB67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000000" w:fill="D99795"/>
            <w:textDirection w:val="btLr"/>
            <w:vAlign w:val="center"/>
            <w:hideMark/>
          </w:tcPr>
          <w:p w:rsidR="00647359" w:rsidRPr="00870678" w:rsidRDefault="00647359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Шууд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гарах</w:t>
            </w:r>
            <w:proofErr w:type="spellEnd"/>
            <w:r w:rsidR="00870678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 xml:space="preserve"> үзүүлэлт</w:t>
            </w:r>
          </w:p>
        </w:tc>
        <w:tc>
          <w:tcPr>
            <w:tcW w:w="990" w:type="dxa"/>
            <w:tcBorders>
              <w:top w:val="dotted" w:sz="4" w:space="0" w:color="auto"/>
            </w:tcBorders>
            <w:shd w:val="clear" w:color="000000" w:fill="D99795"/>
            <w:textDirection w:val="btLr"/>
            <w:vAlign w:val="center"/>
            <w:hideMark/>
          </w:tcPr>
          <w:p w:rsidR="00647359" w:rsidRPr="00870678" w:rsidRDefault="00870678" w:rsidP="008706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Нэмэлт т</w:t>
            </w:r>
            <w:proofErr w:type="spellStart"/>
            <w:r w:rsidR="00647359" w:rsidRPr="00EB6700">
              <w:rPr>
                <w:rFonts w:eastAsia="Times New Roman" w:cs="Arial"/>
                <w:color w:val="000000"/>
                <w:sz w:val="20"/>
                <w:szCs w:val="20"/>
              </w:rPr>
              <w:t>ооцоо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 xml:space="preserve">лол </w:t>
            </w:r>
            <w:proofErr w:type="spellStart"/>
            <w:r w:rsidR="00647359" w:rsidRPr="00EB6700">
              <w:rPr>
                <w:rFonts w:eastAsia="Times New Roman" w:cs="Arial"/>
                <w:color w:val="000000"/>
                <w:sz w:val="20"/>
                <w:szCs w:val="20"/>
              </w:rPr>
              <w:t>хийж</w:t>
            </w:r>
            <w:proofErr w:type="spellEnd"/>
            <w:r w:rsidR="00647359"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гаргах үзүүлэлт</w:t>
            </w:r>
          </w:p>
        </w:tc>
        <w:tc>
          <w:tcPr>
            <w:tcW w:w="1080" w:type="dxa"/>
            <w:vMerge/>
            <w:vAlign w:val="center"/>
            <w:hideMark/>
          </w:tcPr>
          <w:p w:rsidR="00647359" w:rsidRPr="00EB6700" w:rsidRDefault="00647359" w:rsidP="00EB67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04C93" w:rsidRPr="00EB6700" w:rsidTr="00804C93">
        <w:trPr>
          <w:trHeight w:val="260"/>
        </w:trPr>
        <w:tc>
          <w:tcPr>
            <w:tcW w:w="571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9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Ядуурлыг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устгах</w:t>
            </w:r>
            <w:proofErr w:type="spellEnd"/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804C93" w:rsidRPr="00EB6700" w:rsidTr="00804C93">
        <w:trPr>
          <w:trHeight w:val="215"/>
        </w:trPr>
        <w:tc>
          <w:tcPr>
            <w:tcW w:w="571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Өлсгөлөнг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зогсоох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</w:tr>
      <w:tr w:rsidR="00804C93" w:rsidRPr="00EB6700" w:rsidTr="00804C93">
        <w:trPr>
          <w:trHeight w:val="375"/>
        </w:trPr>
        <w:tc>
          <w:tcPr>
            <w:tcW w:w="571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9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Эрүүл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мэндийг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дэмжих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shd w:val="clear" w:color="000000" w:fill="F2DDDC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000000" w:fill="F2DDDC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804C93" w:rsidRPr="00EB6700" w:rsidTr="00804C93">
        <w:trPr>
          <w:trHeight w:val="260"/>
        </w:trPr>
        <w:tc>
          <w:tcPr>
            <w:tcW w:w="571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Чанартай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боловсролыг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дэмжих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804C93" w:rsidRPr="00EB6700" w:rsidTr="00804C93">
        <w:trPr>
          <w:trHeight w:val="435"/>
        </w:trPr>
        <w:tc>
          <w:tcPr>
            <w:tcW w:w="571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09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Жендэрийн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эрх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тэгш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байдлыг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хангах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804C93" w:rsidRPr="00EB6700" w:rsidTr="00804C93">
        <w:trPr>
          <w:trHeight w:val="431"/>
        </w:trPr>
        <w:tc>
          <w:tcPr>
            <w:tcW w:w="571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Баталгаат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ундны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ус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ариун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цэврийн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байгууламжаар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хангах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804C93" w:rsidRPr="00EB6700" w:rsidTr="00804C93">
        <w:trPr>
          <w:trHeight w:val="323"/>
        </w:trPr>
        <w:tc>
          <w:tcPr>
            <w:tcW w:w="571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9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Сэргээгдэх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эрчим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хүчийг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нэвтрүүлэх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000000" w:fill="F2DDDC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000000" w:fill="F2DDDC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804C93" w:rsidRPr="00EB6700" w:rsidTr="00804C93">
        <w:trPr>
          <w:trHeight w:val="404"/>
        </w:trPr>
        <w:tc>
          <w:tcPr>
            <w:tcW w:w="571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Эдийн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засгийн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өсөлт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баталгаат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ажлын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байрыг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бий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болгох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804C93" w:rsidRPr="00EB6700" w:rsidTr="00804C93">
        <w:trPr>
          <w:trHeight w:val="386"/>
        </w:trPr>
        <w:tc>
          <w:tcPr>
            <w:tcW w:w="571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9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Инноваци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болон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дэд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бүтцийг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нэмэгдүүлэх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000000" w:fill="F2DDDC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000000" w:fill="F2DDDC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804C93" w:rsidRPr="00EB6700" w:rsidTr="00804C93">
        <w:trPr>
          <w:trHeight w:val="170"/>
        </w:trPr>
        <w:tc>
          <w:tcPr>
            <w:tcW w:w="571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Тэгш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бус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байдлыг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бууруулах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</w:tr>
      <w:tr w:rsidR="00804C93" w:rsidRPr="00EB6700" w:rsidTr="00804C93">
        <w:trPr>
          <w:trHeight w:val="368"/>
        </w:trPr>
        <w:tc>
          <w:tcPr>
            <w:tcW w:w="571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9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Ээлтэй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хот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иргэдийн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оролцоог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дэмжих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</w:tr>
      <w:tr w:rsidR="00804C93" w:rsidRPr="00EB6700" w:rsidTr="00804C93">
        <w:trPr>
          <w:trHeight w:val="260"/>
        </w:trPr>
        <w:tc>
          <w:tcPr>
            <w:tcW w:w="571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Хариуцлагатай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хэрэглээг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дэмжих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</w:tr>
      <w:tr w:rsidR="00804C93" w:rsidRPr="00EB6700" w:rsidTr="00804C93">
        <w:trPr>
          <w:trHeight w:val="395"/>
        </w:trPr>
        <w:tc>
          <w:tcPr>
            <w:tcW w:w="571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09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Уур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амьсгалын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өөрчлөлтийн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үр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нөлөөг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багасгах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000000" w:fill="F2DDDC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000000" w:fill="F2DDDC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804C93" w:rsidRPr="00EB6700" w:rsidTr="00804C93">
        <w:trPr>
          <w:trHeight w:val="278"/>
        </w:trPr>
        <w:tc>
          <w:tcPr>
            <w:tcW w:w="571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Далай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тэнгисийн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нөөцийг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хамгаалах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804C93" w:rsidRPr="00EB6700" w:rsidTr="00804C93">
        <w:trPr>
          <w:trHeight w:val="395"/>
        </w:trPr>
        <w:tc>
          <w:tcPr>
            <w:tcW w:w="571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09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Хуурай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газрын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эко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системийг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хамгаалах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000000" w:fill="F2DDDC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000000" w:fill="F2DDDC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</w:tr>
      <w:tr w:rsidR="00804C93" w:rsidRPr="00EB6700" w:rsidTr="00804C93">
        <w:trPr>
          <w:trHeight w:val="450"/>
        </w:trPr>
        <w:tc>
          <w:tcPr>
            <w:tcW w:w="571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Энх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тайван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шударга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ёсыг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цогцлоох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</w:tr>
      <w:tr w:rsidR="00804C93" w:rsidRPr="00EB6700" w:rsidTr="00804C93">
        <w:trPr>
          <w:trHeight w:val="570"/>
        </w:trPr>
        <w:tc>
          <w:tcPr>
            <w:tcW w:w="571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209" w:type="dxa"/>
            <w:shd w:val="clear" w:color="000000" w:fill="F2DDDC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Хөгжлийн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төлөөх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түншлэлийг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бэхжүүлэх</w:t>
            </w:r>
            <w:proofErr w:type="spellEnd"/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2DDDC"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</w:tr>
      <w:tr w:rsidR="00804C93" w:rsidRPr="00EB6700" w:rsidTr="00804C93">
        <w:trPr>
          <w:trHeight w:val="251"/>
        </w:trPr>
        <w:tc>
          <w:tcPr>
            <w:tcW w:w="571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shd w:val="clear" w:color="auto" w:fill="auto"/>
            <w:vAlign w:val="bottom"/>
            <w:hideMark/>
          </w:tcPr>
          <w:p w:rsidR="00EB6700" w:rsidRPr="00EB6700" w:rsidRDefault="00EB6700" w:rsidP="00EB67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670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Дүн</w:t>
            </w:r>
            <w:proofErr w:type="spellEnd"/>
            <w:r w:rsidRPr="00EB670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2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2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2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2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2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B6700" w:rsidRPr="00EB6700" w:rsidRDefault="00EB6700" w:rsidP="00804C93">
            <w:pPr>
              <w:spacing w:after="0" w:line="240" w:lineRule="auto"/>
              <w:ind w:firstLineChars="200" w:firstLine="402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B670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</w:tr>
    </w:tbl>
    <w:p w:rsidR="00804C93" w:rsidRDefault="003151BD" w:rsidP="003151BD">
      <w:pPr>
        <w:tabs>
          <w:tab w:val="left" w:pos="0"/>
        </w:tabs>
        <w:jc w:val="both"/>
        <w:rPr>
          <w:b/>
          <w:lang w:val="mn-MN"/>
        </w:rPr>
      </w:pPr>
      <w:r>
        <w:rPr>
          <w:b/>
        </w:rPr>
        <w:t xml:space="preserve">           </w:t>
      </w:r>
    </w:p>
    <w:p w:rsidR="0013548E" w:rsidRPr="003151BD" w:rsidRDefault="003151BD" w:rsidP="003151BD">
      <w:pPr>
        <w:tabs>
          <w:tab w:val="left" w:pos="0"/>
        </w:tabs>
        <w:jc w:val="both"/>
        <w:rPr>
          <w:lang w:val="mn-MN"/>
        </w:rPr>
      </w:pPr>
      <w:r>
        <w:rPr>
          <w:b/>
        </w:rPr>
        <w:t xml:space="preserve">      4.    </w:t>
      </w:r>
      <w:r w:rsidR="00F50E08" w:rsidRPr="003151BD">
        <w:rPr>
          <w:b/>
          <w:lang w:val="mn-MN"/>
        </w:rPr>
        <w:t>Тогтвортой хөгжлийн зорилтын үзүүлэлтийг тооцох</w:t>
      </w:r>
      <w:r w:rsidR="0013548E" w:rsidRPr="003151BD">
        <w:rPr>
          <w:b/>
          <w:lang w:val="mn-MN"/>
        </w:rPr>
        <w:t>, гаргах чиглэлээр цаашид хийгдэх шаардлагатай ажлууд</w:t>
      </w:r>
      <w:r w:rsidRPr="003151BD">
        <w:rPr>
          <w:b/>
        </w:rPr>
        <w:t xml:space="preserve">. </w:t>
      </w:r>
      <w:r w:rsidR="00933217" w:rsidRPr="003151BD">
        <w:rPr>
          <w:lang w:val="mn-MN"/>
        </w:rPr>
        <w:t xml:space="preserve">УБСЕГ-аас </w:t>
      </w:r>
      <w:r w:rsidR="0013548E" w:rsidRPr="003151BD">
        <w:rPr>
          <w:lang w:val="mn-MN"/>
        </w:rPr>
        <w:t xml:space="preserve">ТХЗ-ын Дэлхийн болон үндэсний түвшний үзүүлэлтүүдийг тооцох, гаргах </w:t>
      </w:r>
      <w:r w:rsidR="00C03277" w:rsidRPr="003151BD">
        <w:rPr>
          <w:lang w:val="mn-MN"/>
        </w:rPr>
        <w:t>ч</w:t>
      </w:r>
      <w:r w:rsidR="0013548E" w:rsidRPr="003151BD">
        <w:rPr>
          <w:lang w:val="mn-MN"/>
        </w:rPr>
        <w:t>иглэлээр дар</w:t>
      </w:r>
      <w:r w:rsidR="00933217" w:rsidRPr="003151BD">
        <w:rPr>
          <w:lang w:val="mn-MN"/>
        </w:rPr>
        <w:t xml:space="preserve">аах ажлуудыг хийж, гүйцэтгэхээр төлөвлөж байна. </w:t>
      </w:r>
      <w:r w:rsidR="0013548E" w:rsidRPr="003151BD">
        <w:rPr>
          <w:lang w:val="mn-MN"/>
        </w:rPr>
        <w:t xml:space="preserve">Үүнд: </w:t>
      </w:r>
    </w:p>
    <w:p w:rsidR="0013548E" w:rsidRPr="00C03277" w:rsidRDefault="0013548E" w:rsidP="0013548E">
      <w:pPr>
        <w:pStyle w:val="ListParagraph"/>
        <w:numPr>
          <w:ilvl w:val="0"/>
          <w:numId w:val="1"/>
        </w:numPr>
        <w:jc w:val="both"/>
        <w:rPr>
          <w:lang w:val="mn-MN"/>
        </w:rPr>
      </w:pPr>
      <w:r>
        <w:rPr>
          <w:lang w:val="mn-MN"/>
        </w:rPr>
        <w:t xml:space="preserve">Яамд, холбогдох </w:t>
      </w:r>
      <w:r w:rsidR="00C03277">
        <w:rPr>
          <w:lang w:val="mn-MN"/>
        </w:rPr>
        <w:t>төрийн</w:t>
      </w:r>
      <w:r>
        <w:rPr>
          <w:lang w:val="mn-MN"/>
        </w:rPr>
        <w:t xml:space="preserve"> байгууллагууд</w:t>
      </w:r>
      <w:r w:rsidR="00933217">
        <w:rPr>
          <w:lang w:val="mn-MN"/>
        </w:rPr>
        <w:t>тай хамтран</w:t>
      </w:r>
      <w:r>
        <w:rPr>
          <w:lang w:val="mn-MN"/>
        </w:rPr>
        <w:t xml:space="preserve"> </w:t>
      </w:r>
      <w:r w:rsidRPr="0013548E">
        <w:rPr>
          <w:lang w:val="mn-MN"/>
        </w:rPr>
        <w:t xml:space="preserve">ТХЗ-ын Дэлхийн болон үндэсний түвшний үзүүлэлтүүдийг тооцох олон улсын аргачлал, арга зүйг судлах, </w:t>
      </w:r>
      <w:r>
        <w:rPr>
          <w:lang w:val="mn-MN"/>
        </w:rPr>
        <w:t xml:space="preserve"> </w:t>
      </w:r>
      <w:r w:rsidRPr="0013548E">
        <w:rPr>
          <w:lang w:val="mn-MN"/>
        </w:rPr>
        <w:t>үндэсний онцлогт нийцүүлэн боловсруулах, мөрдүүлэх</w:t>
      </w:r>
      <w:r w:rsidR="00C03277">
        <w:t>;</w:t>
      </w:r>
    </w:p>
    <w:p w:rsidR="00C03277" w:rsidRDefault="00C03277" w:rsidP="00C03277">
      <w:pPr>
        <w:pStyle w:val="ListParagraph"/>
        <w:ind w:left="1080"/>
        <w:jc w:val="both"/>
        <w:rPr>
          <w:lang w:val="mn-MN"/>
        </w:rPr>
      </w:pPr>
    </w:p>
    <w:p w:rsidR="00C03277" w:rsidRPr="00933217" w:rsidRDefault="00C03277" w:rsidP="0013548E">
      <w:pPr>
        <w:pStyle w:val="ListParagraph"/>
        <w:numPr>
          <w:ilvl w:val="0"/>
          <w:numId w:val="1"/>
        </w:numPr>
        <w:jc w:val="both"/>
        <w:rPr>
          <w:lang w:val="mn-MN"/>
        </w:rPr>
      </w:pPr>
      <w:r>
        <w:rPr>
          <w:lang w:val="mn-MN"/>
        </w:rPr>
        <w:t>Аргачлал, арга зүй нь бэлэн боловч гаргах боломжгүй үзүүлэлтүүди</w:t>
      </w:r>
      <w:r w:rsidR="00803103">
        <w:rPr>
          <w:lang w:val="mn-MN"/>
        </w:rPr>
        <w:t xml:space="preserve">йг </w:t>
      </w:r>
      <w:r w:rsidR="00692346">
        <w:rPr>
          <w:lang w:val="mn-MN"/>
        </w:rPr>
        <w:t xml:space="preserve">тодорхойлж, </w:t>
      </w:r>
      <w:r>
        <w:rPr>
          <w:lang w:val="mn-MN"/>
        </w:rPr>
        <w:t xml:space="preserve">  тусгайлсан судалгаа явуулах, одоо мөрдөгдөж байгаа</w:t>
      </w:r>
      <w:r w:rsidR="00803103">
        <w:rPr>
          <w:lang w:val="mn-MN"/>
        </w:rPr>
        <w:t xml:space="preserve"> зарим</w:t>
      </w:r>
      <w:r>
        <w:rPr>
          <w:lang w:val="mn-MN"/>
        </w:rPr>
        <w:t xml:space="preserve"> тооллого, судалгаа, мэдээ, тайлангийн маягтад </w:t>
      </w:r>
      <w:r w:rsidR="00803103">
        <w:rPr>
          <w:lang w:val="mn-MN"/>
        </w:rPr>
        <w:t xml:space="preserve">шаардлагатай </w:t>
      </w:r>
      <w:r>
        <w:rPr>
          <w:lang w:val="mn-MN"/>
        </w:rPr>
        <w:t>нэмэлт асуулт</w:t>
      </w:r>
      <w:r w:rsidR="00803103">
        <w:rPr>
          <w:lang w:val="mn-MN"/>
        </w:rPr>
        <w:t>ыг</w:t>
      </w:r>
      <w:r w:rsidR="00933217">
        <w:rPr>
          <w:lang w:val="mn-MN"/>
        </w:rPr>
        <w:t xml:space="preserve"> тусгаж,  мэдээллийн эх үүсвэрийг бий болгох</w:t>
      </w:r>
      <w:r w:rsidR="00933217">
        <w:t>;</w:t>
      </w:r>
    </w:p>
    <w:p w:rsidR="00933217" w:rsidRPr="00933217" w:rsidRDefault="00933217" w:rsidP="00933217">
      <w:pPr>
        <w:jc w:val="both"/>
        <w:rPr>
          <w:lang w:val="mn-MN"/>
        </w:rPr>
      </w:pPr>
      <w:r>
        <w:rPr>
          <w:lang w:val="mn-MN"/>
        </w:rPr>
        <w:t xml:space="preserve">        Эцэст нь </w:t>
      </w:r>
      <w:r w:rsidR="00CA2F1C">
        <w:rPr>
          <w:lang w:val="mn-MN"/>
        </w:rPr>
        <w:t xml:space="preserve">нэгдсэн </w:t>
      </w:r>
      <w:r w:rsidR="0066144B">
        <w:rPr>
          <w:lang w:val="mn-MN"/>
        </w:rPr>
        <w:t xml:space="preserve">Тогтвортой хөгжлийн Үндэсний хороо болон </w:t>
      </w:r>
      <w:r w:rsidR="00CA2F1C">
        <w:rPr>
          <w:lang w:val="mn-MN"/>
        </w:rPr>
        <w:t xml:space="preserve">Сангийн яамны зүгээс </w:t>
      </w:r>
      <w:r>
        <w:rPr>
          <w:lang w:val="mn-MN"/>
        </w:rPr>
        <w:t xml:space="preserve"> </w:t>
      </w:r>
      <w:r w:rsidR="00CA2F1C">
        <w:rPr>
          <w:lang w:val="mn-MN"/>
        </w:rPr>
        <w:t>дараах ажлуудыг зохион байгуулж, анхаарал тавин а</w:t>
      </w:r>
      <w:r w:rsidR="0066144B">
        <w:rPr>
          <w:lang w:val="mn-MN"/>
        </w:rPr>
        <w:t xml:space="preserve">жиллах нь зүйтэй гэж үзэж </w:t>
      </w:r>
      <w:r w:rsidR="00CA2F1C">
        <w:rPr>
          <w:lang w:val="mn-MN"/>
        </w:rPr>
        <w:t xml:space="preserve">байна. Үүнд: </w:t>
      </w:r>
    </w:p>
    <w:p w:rsidR="00CA2F1C" w:rsidRPr="00CA2F1C" w:rsidRDefault="0066144B" w:rsidP="0013548E">
      <w:pPr>
        <w:pStyle w:val="ListParagraph"/>
        <w:numPr>
          <w:ilvl w:val="0"/>
          <w:numId w:val="1"/>
        </w:numPr>
        <w:jc w:val="both"/>
        <w:rPr>
          <w:lang w:val="mn-MN"/>
        </w:rPr>
      </w:pPr>
      <w:r>
        <w:rPr>
          <w:lang w:val="mn-MN"/>
        </w:rPr>
        <w:t>ТХЗ-ыг хэрэгжүүлэхэд</w:t>
      </w:r>
      <w:r w:rsidR="00CA2F1C">
        <w:rPr>
          <w:lang w:val="mn-MN"/>
        </w:rPr>
        <w:t xml:space="preserve"> Олон улсын байгууллага, төрийн бус байгууллага, хувий</w:t>
      </w:r>
      <w:r>
        <w:rPr>
          <w:lang w:val="mn-MN"/>
        </w:rPr>
        <w:t>н</w:t>
      </w:r>
      <w:r w:rsidR="00CA2F1C">
        <w:rPr>
          <w:lang w:val="mn-MN"/>
        </w:rPr>
        <w:t xml:space="preserve"> хэвшлийн байгууллагууд, мэргэжлийн холбоо</w:t>
      </w:r>
      <w:r>
        <w:rPr>
          <w:lang w:val="mn-MN"/>
        </w:rPr>
        <w:t>д, шинжлэх ухаан, судалгаа  шин</w:t>
      </w:r>
      <w:r w:rsidR="00CA2F1C">
        <w:rPr>
          <w:lang w:val="mn-MN"/>
        </w:rPr>
        <w:t>жилгээний байгууллагуудыг  татан оролцуулах,</w:t>
      </w:r>
      <w:r>
        <w:rPr>
          <w:lang w:val="mn-MN"/>
        </w:rPr>
        <w:t xml:space="preserve"> тэдгээрийн</w:t>
      </w:r>
      <w:r w:rsidR="00CA2F1C">
        <w:rPr>
          <w:lang w:val="mn-MN"/>
        </w:rPr>
        <w:t xml:space="preserve"> оролцоог нэмэгдүүлэх</w:t>
      </w:r>
      <w:r w:rsidR="00CA2F1C">
        <w:t>;</w:t>
      </w:r>
    </w:p>
    <w:p w:rsidR="00CA2F1C" w:rsidRPr="00CA2F1C" w:rsidRDefault="00CA2F1C" w:rsidP="00CA2F1C">
      <w:pPr>
        <w:pStyle w:val="ListParagraph"/>
        <w:ind w:left="1080"/>
        <w:jc w:val="both"/>
        <w:rPr>
          <w:lang w:val="mn-MN"/>
        </w:rPr>
      </w:pPr>
    </w:p>
    <w:p w:rsidR="00C03277" w:rsidRPr="00C03277" w:rsidRDefault="00C03277" w:rsidP="0013548E">
      <w:pPr>
        <w:pStyle w:val="ListParagraph"/>
        <w:numPr>
          <w:ilvl w:val="0"/>
          <w:numId w:val="1"/>
        </w:numPr>
        <w:jc w:val="both"/>
        <w:rPr>
          <w:lang w:val="mn-MN"/>
        </w:rPr>
      </w:pPr>
      <w:r>
        <w:rPr>
          <w:lang w:val="mn-MN"/>
        </w:rPr>
        <w:t>ТХЗ-ын шалгуур үзүүлэлтүүдийн</w:t>
      </w:r>
      <w:r w:rsidR="00CA2F1C">
        <w:t xml:space="preserve"> </w:t>
      </w:r>
      <w:r w:rsidR="00CA2F1C">
        <w:rPr>
          <w:lang w:val="mn-MN"/>
        </w:rPr>
        <w:t xml:space="preserve"> аргачлал, арга зүйг боловсруулах, үндэсний, орон нутгийн түвшний болон салбарын бодлогын баримт бичгүүдтэй уялдуулах, үнэлгээ хийх,  </w:t>
      </w:r>
      <w:r>
        <w:rPr>
          <w:lang w:val="mn-MN"/>
        </w:rPr>
        <w:t>албан ё</w:t>
      </w:r>
      <w:r w:rsidR="0066144B">
        <w:rPr>
          <w:lang w:val="mn-MN"/>
        </w:rPr>
        <w:t>сны монгол, англи орчуулгыг хийх</w:t>
      </w:r>
      <w:r>
        <w:rPr>
          <w:lang w:val="mn-MN"/>
        </w:rPr>
        <w:t xml:space="preserve">, </w:t>
      </w:r>
      <w:r w:rsidR="00CA2F1C">
        <w:rPr>
          <w:lang w:val="mn-MN"/>
        </w:rPr>
        <w:t xml:space="preserve">мэдээллийн эх үүсвэрийг бий болгох </w:t>
      </w:r>
      <w:r w:rsidR="0066144B">
        <w:rPr>
          <w:lang w:val="mn-MN"/>
        </w:rPr>
        <w:t>шаардлагатай</w:t>
      </w:r>
      <w:r w:rsidR="00CA2F1C">
        <w:rPr>
          <w:lang w:val="mn-MN"/>
        </w:rPr>
        <w:t xml:space="preserve"> судалгаа, шинжилгээний ажлыг хийхэд санхүүгийн тусламж авах  зэрэгт </w:t>
      </w:r>
      <w:r w:rsidR="0066144B">
        <w:rPr>
          <w:lang w:val="mn-MN"/>
        </w:rPr>
        <w:t xml:space="preserve">холбогдох </w:t>
      </w:r>
      <w:r w:rsidR="00CA2F1C">
        <w:rPr>
          <w:lang w:val="mn-MN"/>
        </w:rPr>
        <w:t>байгууллагууд</w:t>
      </w:r>
      <w:r w:rsidR="0066144B">
        <w:rPr>
          <w:lang w:val="mn-MN"/>
        </w:rPr>
        <w:t>,</w:t>
      </w:r>
      <w:r w:rsidR="00CA2F1C">
        <w:rPr>
          <w:lang w:val="mn-MN"/>
        </w:rPr>
        <w:t xml:space="preserve"> тухайлбал</w:t>
      </w:r>
      <w:r w:rsidR="0066144B">
        <w:rPr>
          <w:lang w:val="mn-MN"/>
        </w:rPr>
        <w:t>,</w:t>
      </w:r>
      <w:r w:rsidR="00CA2F1C">
        <w:rPr>
          <w:lang w:val="mn-MN"/>
        </w:rPr>
        <w:t xml:space="preserve"> олон улсын байгууллагын туслалцааг авах, хамтран ажиллах</w:t>
      </w:r>
      <w:r>
        <w:t>;</w:t>
      </w:r>
    </w:p>
    <w:p w:rsidR="00C03277" w:rsidRPr="00C03277" w:rsidRDefault="00C03277" w:rsidP="00C03277">
      <w:pPr>
        <w:pStyle w:val="ListParagraph"/>
        <w:rPr>
          <w:lang w:val="mn-MN"/>
        </w:rPr>
      </w:pPr>
    </w:p>
    <w:p w:rsidR="00C03277" w:rsidRDefault="00C03277" w:rsidP="0013548E">
      <w:pPr>
        <w:pStyle w:val="ListParagraph"/>
        <w:numPr>
          <w:ilvl w:val="0"/>
          <w:numId w:val="1"/>
        </w:numPr>
        <w:jc w:val="both"/>
        <w:rPr>
          <w:lang w:val="mn-MN"/>
        </w:rPr>
      </w:pPr>
      <w:r>
        <w:rPr>
          <w:lang w:val="mn-MN"/>
        </w:rPr>
        <w:t>ТХЗ-ыг гаргах мэдээллийн эх үүсвэрийг бий болгох</w:t>
      </w:r>
      <w:r w:rsidR="00803103">
        <w:rPr>
          <w:lang w:val="mn-MN"/>
        </w:rPr>
        <w:t>,  тусгайлсан судалгаа явуулахад шаардагдах санхүү, зардлын асуудлыг шийдвэрлэх</w:t>
      </w:r>
      <w:r w:rsidR="00803103">
        <w:t>;</w:t>
      </w:r>
    </w:p>
    <w:p w:rsidR="00443A32" w:rsidRPr="00443A32" w:rsidRDefault="00443A32" w:rsidP="00443A32">
      <w:pPr>
        <w:pStyle w:val="ListParagraph"/>
        <w:rPr>
          <w:lang w:val="mn-MN"/>
        </w:rPr>
      </w:pPr>
    </w:p>
    <w:p w:rsidR="00443A32" w:rsidRDefault="00443A32" w:rsidP="0013548E">
      <w:pPr>
        <w:pStyle w:val="ListParagraph"/>
        <w:numPr>
          <w:ilvl w:val="0"/>
          <w:numId w:val="1"/>
        </w:numPr>
        <w:jc w:val="both"/>
        <w:rPr>
          <w:lang w:val="mn-MN"/>
        </w:rPr>
      </w:pPr>
      <w:r>
        <w:rPr>
          <w:lang w:val="mn-MN"/>
        </w:rPr>
        <w:t>ТХЗ-ын дэлхийн болон үндэсний түвшний үзүүлэлтүүд батлагдсны дараа тодорхой сэдвүүдээр сургалт, сурталчилгааны ажлыг зохион байгуулах</w:t>
      </w:r>
      <w:r>
        <w:t>;</w:t>
      </w:r>
    </w:p>
    <w:p w:rsidR="00505919" w:rsidRDefault="00505919" w:rsidP="00505919">
      <w:pPr>
        <w:pStyle w:val="ListParagraph"/>
        <w:rPr>
          <w:lang w:val="mn-MN"/>
        </w:rPr>
      </w:pPr>
    </w:p>
    <w:p w:rsidR="00505919" w:rsidRDefault="00505919" w:rsidP="00505919">
      <w:pPr>
        <w:rPr>
          <w:b/>
          <w:lang w:val="mn-MN"/>
        </w:rPr>
      </w:pPr>
      <w:r>
        <w:rPr>
          <w:b/>
          <w:lang w:val="mn-MN"/>
        </w:rPr>
        <w:t xml:space="preserve">             </w:t>
      </w:r>
      <w:r w:rsidRPr="00505919">
        <w:rPr>
          <w:b/>
          <w:lang w:val="mn-MN"/>
        </w:rPr>
        <w:t>Ашигласан материал:</w:t>
      </w:r>
    </w:p>
    <w:p w:rsidR="00A3228C" w:rsidRPr="00A3228C" w:rsidRDefault="00505919" w:rsidP="00A3228C">
      <w:pPr>
        <w:pStyle w:val="ListParagraph"/>
        <w:numPr>
          <w:ilvl w:val="0"/>
          <w:numId w:val="6"/>
        </w:numPr>
        <w:rPr>
          <w:lang w:val="mn-MN"/>
        </w:rPr>
      </w:pPr>
      <w:r w:rsidRPr="00A3228C">
        <w:rPr>
          <w:lang w:val="mn-MN"/>
        </w:rPr>
        <w:t xml:space="preserve">ТХЗ-ын үзүүлэлтийн </w:t>
      </w:r>
      <w:r w:rsidR="00A3228C" w:rsidRPr="00A3228C">
        <w:rPr>
          <w:lang w:val="mn-MN"/>
        </w:rPr>
        <w:t>мета мэдээллийн сан:</w:t>
      </w:r>
    </w:p>
    <w:p w:rsidR="00A3228C" w:rsidRDefault="00A3228C" w:rsidP="00A3228C">
      <w:pPr>
        <w:pStyle w:val="ListParagraph"/>
        <w:rPr>
          <w:lang w:val="mn-MN"/>
        </w:rPr>
      </w:pPr>
      <w:r w:rsidRPr="00A3228C">
        <w:rPr>
          <w:lang w:val="mn-MN"/>
        </w:rPr>
        <w:t xml:space="preserve">                                               </w:t>
      </w:r>
      <w:hyperlink r:id="rId7" w:history="1">
        <w:r w:rsidRPr="00A3228C">
          <w:rPr>
            <w:rStyle w:val="Hyperlink"/>
            <w:lang w:val="mn-MN"/>
          </w:rPr>
          <w:t>http://unstats.un.org/sdgs/iaeg-sdgs/metadata-compilation/</w:t>
        </w:r>
      </w:hyperlink>
    </w:p>
    <w:p w:rsidR="00A3228C" w:rsidRDefault="00A3228C" w:rsidP="00A3228C">
      <w:pPr>
        <w:pStyle w:val="ListParagraph"/>
        <w:rPr>
          <w:lang w:val="mn-MN"/>
        </w:rPr>
      </w:pPr>
    </w:p>
    <w:p w:rsidR="00A3228C" w:rsidRDefault="001F261E" w:rsidP="00A3228C">
      <w:pPr>
        <w:pStyle w:val="ListParagraph"/>
        <w:numPr>
          <w:ilvl w:val="0"/>
          <w:numId w:val="6"/>
        </w:numPr>
        <w:rPr>
          <w:lang w:val="mn-MN"/>
        </w:rPr>
      </w:pPr>
      <w:hyperlink r:id="rId8" w:history="1">
        <w:r w:rsidR="00A3228C" w:rsidRPr="00A3228C">
          <w:rPr>
            <w:lang w:val="mn-MN"/>
          </w:rPr>
          <w:t>Монгол Улсын мянганы хөгжлийн зорилтын шалгуур үзүүлэлтүүдийг тооцох аргачлал</w:t>
        </w:r>
        <w:r w:rsidR="00A3228C">
          <w:rPr>
            <w:lang w:val="mn-MN"/>
          </w:rPr>
          <w:t>:</w:t>
        </w:r>
        <w:r w:rsidR="00A3228C" w:rsidRPr="00A3228C">
          <w:rPr>
            <w:lang w:val="mn-MN"/>
          </w:rPr>
          <w:t xml:space="preserve"> </w:t>
        </w:r>
      </w:hyperlink>
      <w:r w:rsidR="00A3228C">
        <w:rPr>
          <w:lang w:val="mn-MN"/>
        </w:rPr>
        <w:tab/>
      </w:r>
      <w:r w:rsidR="00A3228C">
        <w:rPr>
          <w:lang w:val="mn-MN"/>
        </w:rPr>
        <w:tab/>
      </w:r>
      <w:r w:rsidR="00A3228C">
        <w:rPr>
          <w:lang w:val="mn-MN"/>
        </w:rPr>
        <w:tab/>
      </w:r>
      <w:r w:rsidR="00A3228C">
        <w:rPr>
          <w:lang w:val="mn-MN"/>
        </w:rPr>
        <w:tab/>
      </w:r>
      <w:hyperlink r:id="rId9" w:history="1">
        <w:r w:rsidR="00A3228C" w:rsidRPr="00182A22">
          <w:rPr>
            <w:rStyle w:val="Hyperlink"/>
            <w:lang w:val="mn-MN"/>
          </w:rPr>
          <w:t>http://web.nso.mn/AAZMS/web/content/21</w:t>
        </w:r>
      </w:hyperlink>
    </w:p>
    <w:p w:rsidR="00A3228C" w:rsidRDefault="00A3228C" w:rsidP="00A3228C">
      <w:pPr>
        <w:pStyle w:val="ListParagraph"/>
        <w:numPr>
          <w:ilvl w:val="0"/>
          <w:numId w:val="6"/>
        </w:numPr>
        <w:rPr>
          <w:lang w:val="mn-MN"/>
        </w:rPr>
      </w:pPr>
      <w:r>
        <w:rPr>
          <w:lang w:val="mn-MN"/>
        </w:rPr>
        <w:lastRenderedPageBreak/>
        <w:t>Бусад холбогдох аргачлалууд</w:t>
      </w:r>
    </w:p>
    <w:p w:rsidR="00A3228C" w:rsidRDefault="00A3228C" w:rsidP="00A3228C">
      <w:pPr>
        <w:pStyle w:val="ListParagraph"/>
        <w:rPr>
          <w:lang w:val="mn-MN"/>
        </w:rPr>
      </w:pPr>
      <w:r>
        <w:rPr>
          <w:lang w:val="mn-MN"/>
        </w:rPr>
        <w:t xml:space="preserve">                                               </w:t>
      </w:r>
      <w:hyperlink r:id="rId10" w:history="1">
        <w:r w:rsidRPr="00182A22">
          <w:rPr>
            <w:rStyle w:val="Hyperlink"/>
            <w:lang w:val="mn-MN"/>
          </w:rPr>
          <w:t>http://web.nso.mn/aazms/</w:t>
        </w:r>
      </w:hyperlink>
    </w:p>
    <w:p w:rsidR="00A3228C" w:rsidRPr="00A3228C" w:rsidRDefault="00A3228C" w:rsidP="00A3228C">
      <w:pPr>
        <w:pStyle w:val="ListParagraph"/>
        <w:rPr>
          <w:lang w:val="mn-MN"/>
        </w:rPr>
      </w:pPr>
    </w:p>
    <w:p w:rsidR="00505919" w:rsidRPr="00505919" w:rsidRDefault="00A3228C" w:rsidP="00505919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  </w:t>
      </w:r>
    </w:p>
    <w:sectPr w:rsidR="00505919" w:rsidRPr="00505919" w:rsidSect="00804C93">
      <w:footerReference w:type="default" r:id="rId11"/>
      <w:pgSz w:w="12240" w:h="15840"/>
      <w:pgMar w:top="990" w:right="126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1E" w:rsidRDefault="001F261E" w:rsidP="0013548E">
      <w:pPr>
        <w:spacing w:after="0" w:line="240" w:lineRule="auto"/>
      </w:pPr>
      <w:r>
        <w:separator/>
      </w:r>
    </w:p>
  </w:endnote>
  <w:endnote w:type="continuationSeparator" w:id="0">
    <w:p w:rsidR="001F261E" w:rsidRDefault="001F261E" w:rsidP="0013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9245"/>
      <w:docPartObj>
        <w:docPartGallery w:val="Page Numbers (Bottom of Page)"/>
        <w:docPartUnique/>
      </w:docPartObj>
    </w:sdtPr>
    <w:sdtEndPr/>
    <w:sdtContent>
      <w:p w:rsidR="00CA2F1C" w:rsidRDefault="001F2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1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A2F1C" w:rsidRDefault="00CA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1E" w:rsidRDefault="001F261E" w:rsidP="0013548E">
      <w:pPr>
        <w:spacing w:after="0" w:line="240" w:lineRule="auto"/>
      </w:pPr>
      <w:r>
        <w:separator/>
      </w:r>
    </w:p>
  </w:footnote>
  <w:footnote w:type="continuationSeparator" w:id="0">
    <w:p w:rsidR="001F261E" w:rsidRDefault="001F261E" w:rsidP="0013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2A82"/>
    <w:multiLevelType w:val="hybridMultilevel"/>
    <w:tmpl w:val="327ADA54"/>
    <w:lvl w:ilvl="0" w:tplc="D9D4550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660F0"/>
    <w:multiLevelType w:val="hybridMultilevel"/>
    <w:tmpl w:val="ACEEBAE4"/>
    <w:lvl w:ilvl="0" w:tplc="D1E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25F8"/>
    <w:multiLevelType w:val="hybridMultilevel"/>
    <w:tmpl w:val="AE3CE092"/>
    <w:lvl w:ilvl="0" w:tplc="E20EE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C9D"/>
    <w:multiLevelType w:val="hybridMultilevel"/>
    <w:tmpl w:val="B3648CA0"/>
    <w:lvl w:ilvl="0" w:tplc="6E3693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1040"/>
    <w:multiLevelType w:val="hybridMultilevel"/>
    <w:tmpl w:val="AE3CE092"/>
    <w:lvl w:ilvl="0" w:tplc="E20EE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F3B47"/>
    <w:multiLevelType w:val="hybridMultilevel"/>
    <w:tmpl w:val="BDD04B48"/>
    <w:lvl w:ilvl="0" w:tplc="FFDC3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C20F3"/>
    <w:multiLevelType w:val="hybridMultilevel"/>
    <w:tmpl w:val="9B580FD8"/>
    <w:lvl w:ilvl="0" w:tplc="578AAE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E10608"/>
    <w:multiLevelType w:val="hybridMultilevel"/>
    <w:tmpl w:val="785A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E0833"/>
    <w:multiLevelType w:val="hybridMultilevel"/>
    <w:tmpl w:val="94D4F934"/>
    <w:lvl w:ilvl="0" w:tplc="12AE10B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904E5"/>
    <w:multiLevelType w:val="hybridMultilevel"/>
    <w:tmpl w:val="A4364A38"/>
    <w:lvl w:ilvl="0" w:tplc="45F8C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83"/>
    <w:rsid w:val="00047D21"/>
    <w:rsid w:val="0013070C"/>
    <w:rsid w:val="0013548E"/>
    <w:rsid w:val="00171543"/>
    <w:rsid w:val="00175A61"/>
    <w:rsid w:val="00185013"/>
    <w:rsid w:val="001D041E"/>
    <w:rsid w:val="001F261E"/>
    <w:rsid w:val="002109FF"/>
    <w:rsid w:val="00213597"/>
    <w:rsid w:val="0023141B"/>
    <w:rsid w:val="003151BD"/>
    <w:rsid w:val="004347A8"/>
    <w:rsid w:val="00443A32"/>
    <w:rsid w:val="004933E3"/>
    <w:rsid w:val="0049417C"/>
    <w:rsid w:val="004A40F2"/>
    <w:rsid w:val="00505919"/>
    <w:rsid w:val="00567CA7"/>
    <w:rsid w:val="005757CA"/>
    <w:rsid w:val="005B2710"/>
    <w:rsid w:val="005B3527"/>
    <w:rsid w:val="0060534F"/>
    <w:rsid w:val="00647359"/>
    <w:rsid w:val="0066144B"/>
    <w:rsid w:val="006746FB"/>
    <w:rsid w:val="00692346"/>
    <w:rsid w:val="006C516E"/>
    <w:rsid w:val="006D1404"/>
    <w:rsid w:val="006E15B4"/>
    <w:rsid w:val="006E2405"/>
    <w:rsid w:val="0075253A"/>
    <w:rsid w:val="00803103"/>
    <w:rsid w:val="00804C93"/>
    <w:rsid w:val="008518CC"/>
    <w:rsid w:val="00870678"/>
    <w:rsid w:val="00875AFE"/>
    <w:rsid w:val="00880942"/>
    <w:rsid w:val="008A15A9"/>
    <w:rsid w:val="008D18CB"/>
    <w:rsid w:val="008D28A9"/>
    <w:rsid w:val="0092629C"/>
    <w:rsid w:val="00933217"/>
    <w:rsid w:val="00982B8E"/>
    <w:rsid w:val="00987521"/>
    <w:rsid w:val="00A06933"/>
    <w:rsid w:val="00A14CBC"/>
    <w:rsid w:val="00A2194F"/>
    <w:rsid w:val="00A3228C"/>
    <w:rsid w:val="00A65671"/>
    <w:rsid w:val="00AC0A18"/>
    <w:rsid w:val="00AE6CF2"/>
    <w:rsid w:val="00AF1937"/>
    <w:rsid w:val="00B21849"/>
    <w:rsid w:val="00B2552B"/>
    <w:rsid w:val="00B26940"/>
    <w:rsid w:val="00BB6FD6"/>
    <w:rsid w:val="00C03277"/>
    <w:rsid w:val="00C07994"/>
    <w:rsid w:val="00CA2F1C"/>
    <w:rsid w:val="00CA3043"/>
    <w:rsid w:val="00CA65D3"/>
    <w:rsid w:val="00EB6700"/>
    <w:rsid w:val="00EB76F1"/>
    <w:rsid w:val="00EF7AC9"/>
    <w:rsid w:val="00F00B3F"/>
    <w:rsid w:val="00F13FFE"/>
    <w:rsid w:val="00F26283"/>
    <w:rsid w:val="00F43358"/>
    <w:rsid w:val="00F50E08"/>
    <w:rsid w:val="00FB2369"/>
    <w:rsid w:val="00FC749F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D9252-F527-45A8-9FEA-0AD58B02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48E"/>
  </w:style>
  <w:style w:type="paragraph" w:styleId="Footer">
    <w:name w:val="footer"/>
    <w:basedOn w:val="Normal"/>
    <w:link w:val="FooterChar"/>
    <w:uiPriority w:val="99"/>
    <w:unhideWhenUsed/>
    <w:rsid w:val="0013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8E"/>
  </w:style>
  <w:style w:type="character" w:styleId="Hyperlink">
    <w:name w:val="Hyperlink"/>
    <w:basedOn w:val="DefaultParagraphFont"/>
    <w:uiPriority w:val="99"/>
    <w:unhideWhenUsed/>
    <w:rsid w:val="00A32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nso.mn/AAZMS/web/detail/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nstats.un.org/sdgs/iaeg-sdgs/metadata-compil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eb.nso.mn/aaz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nso.mn/AAZMS/web/content/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Oyunjargal_M</dc:creator>
  <cp:lastModifiedBy>Norov</cp:lastModifiedBy>
  <cp:revision>37</cp:revision>
  <cp:lastPrinted>2016-05-18T08:05:00Z</cp:lastPrinted>
  <dcterms:created xsi:type="dcterms:W3CDTF">2016-05-16T23:41:00Z</dcterms:created>
  <dcterms:modified xsi:type="dcterms:W3CDTF">2017-10-24T08:16:00Z</dcterms:modified>
</cp:coreProperties>
</file>